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67.140.10</w:t>
            </w:r>
          </w:p>
        </w:tc>
      </w:tr>
      <w:tr>
        <w:tblPrEx>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X 55</w:t>
            </w:r>
          </w:p>
        </w:tc>
      </w:tr>
    </w:tbl>
    <w:tbl>
      <w:tblPr>
        <w:tblStyle w:val="33"/>
        <w:tblpPr w:leftFromText="180" w:rightFromText="180" w:vertAnchor="text" w:horzAnchor="margin" w:tblpX="2683" w:tblpY="578"/>
        <w:tblW w:w="6661"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1"/>
      </w:tblGrid>
      <w:tr>
        <w:tblPrEx>
          <w:tblLayout w:type="fixed"/>
          <w:tblCellMar>
            <w:top w:w="0" w:type="dxa"/>
            <w:left w:w="108" w:type="dxa"/>
            <w:bottom w:w="0" w:type="dxa"/>
            <w:right w:w="108" w:type="dxa"/>
          </w:tblCellMar>
        </w:tblPrEx>
        <w:tc>
          <w:tcPr>
            <w:tcW w:w="6661" w:type="dxa"/>
          </w:tcPr>
          <w:p>
            <w:pPr>
              <w:pStyle w:val="49"/>
              <w:framePr w:w="0" w:hRule="auto" w:wrap="auto" w:vAnchor="margin" w:hAnchor="text" w:xAlign="left" w:yAlign="inline"/>
              <w:rPr>
                <w:rFonts w:ascii="宋体" w:hAnsi="宋体"/>
                <w:sz w:val="28"/>
                <w:szCs w:val="28"/>
              </w:rPr>
            </w:pPr>
            <w:bookmarkStart w:id="0" w:name="_Hlk26473981"/>
            <w:r>
              <w:rPr>
                <w:sz w:val="21"/>
                <w:szCs w:val="21"/>
              </w:rPr>
              <w:t xml:space="preserve"> </w:t>
            </w:r>
            <w:r>
              <w:t>T/JXTA</w:t>
            </w:r>
          </w:p>
        </w:tc>
      </w:tr>
    </w:tbl>
    <w:p>
      <w:pPr>
        <w:pStyle w:val="50"/>
        <w:framePr w:w="9639" w:h="624" w:hRule="exact" w:hSpace="181" w:vSpace="181" w:hAnchor="page" w:x="1305" w:y="2269"/>
        <w:rPr>
          <w:rFonts w:hint="eastAsia" w:ascii="黑体" w:hAnsi="黑体" w:eastAsia="黑体"/>
          <w:b w:val="0"/>
          <w:bCs w:val="0"/>
          <w:w w:val="100"/>
          <w:sz w:val="48"/>
          <w:szCs w:val="48"/>
        </w:rPr>
      </w:pPr>
      <w:r>
        <w:rPr>
          <w:rFonts w:hint="eastAsia" w:ascii="黑体" w:hAnsi="黑体" w:eastAsia="黑体"/>
          <w:b w:val="0"/>
          <w:bCs w:val="0"/>
          <w:w w:val="100"/>
          <w:sz w:val="48"/>
          <w:szCs w:val="48"/>
        </w:rPr>
        <w:t>团体标准</w:t>
      </w:r>
    </w:p>
    <w:p>
      <w:pPr>
        <w:framePr w:w="9639" w:h="624" w:hRule="exact" w:hSpace="181" w:vSpace="181" w:wrap="around" w:vAnchor="margin" w:hAnchor="page" w:x="1305" w:y="2269"/>
        <w:rPr>
          <w:rFonts w:hint="eastAsia" w:ascii="黑体" w:hAnsi="黑体" w:eastAsia="黑体"/>
          <w:b w:val="0"/>
          <w:bCs w:val="0"/>
          <w:w w:val="100"/>
          <w:sz w:val="48"/>
          <w:szCs w:val="48"/>
        </w:rPr>
      </w:pPr>
    </w:p>
    <w:bookmarkEnd w:id="0"/>
    <w:p>
      <w:pPr>
        <w:pStyle w:val="195"/>
      </w:pPr>
    </w:p>
    <w:p>
      <w:pPr>
        <w:pStyle w:val="195"/>
      </w:pPr>
      <w:r>
        <w:t>T/JXTA</w:t>
      </w:r>
      <w:r>
        <w:rPr>
          <w:rFonts w:hAnsi="黑体"/>
        </w:rPr>
        <w:t>—</w:t>
      </w:r>
      <w:r>
        <w:t>2021</w:t>
      </w:r>
    </w:p>
    <w:p>
      <w:pPr>
        <w:pStyle w:val="196"/>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rPr>
          <w:rFonts w:hint="eastAsia"/>
        </w:rPr>
        <w:t>狗牯脑红茶</w:t>
      </w:r>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t>Gougunao black tea</w:t>
      </w: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p>
    <w:p>
      <w:pPr>
        <w:pStyle w:val="193"/>
        <w:framePr w:y="14176"/>
      </w:pPr>
      <w:r>
        <w:rPr>
          <w:rFonts w:hint="eastAsia"/>
          <w:lang w:eastAsia="zh-CN"/>
        </w:rPr>
        <w:t>2021</w:t>
      </w:r>
      <w:r>
        <w:t xml:space="preserve"> </w:t>
      </w:r>
      <w:r>
        <w:rPr>
          <w:rFonts w:ascii="黑体"/>
        </w:rPr>
        <w:t>-</w:t>
      </w:r>
      <w:r>
        <w:t xml:space="preserve"> </w:t>
      </w:r>
      <w:r>
        <w:rPr>
          <w:lang w:val="en-US"/>
        </w:rPr>
        <w:t>xx</w:t>
      </w:r>
      <w:r>
        <w:t xml:space="preserve"> </w:t>
      </w:r>
      <w:r>
        <w:rPr>
          <w:rFonts w:ascii="黑体"/>
        </w:rPr>
        <w:t>-</w:t>
      </w:r>
      <w:r>
        <w:t xml:space="preserve"> </w:t>
      </w:r>
      <w:r>
        <w:rPr>
          <w:lang w:val="en-US"/>
        </w:rPr>
        <w:t>xx</w:t>
      </w:r>
      <w:r>
        <w:rPr>
          <w:rFonts w:hint="eastAsia"/>
        </w:rPr>
        <w:t>发布</w:t>
      </w:r>
    </w:p>
    <w:p>
      <w:pPr>
        <w:pStyle w:val="194"/>
        <w:framePr w:y="14176"/>
      </w:pPr>
      <w:r>
        <w:rPr>
          <w:rFonts w:hint="eastAsia"/>
          <w:lang w:eastAsia="zh-CN"/>
        </w:rPr>
        <w:t>2021</w:t>
      </w:r>
      <w:r>
        <w:t xml:space="preserve"> </w:t>
      </w:r>
      <w:r>
        <w:rPr>
          <w:rFonts w:ascii="黑体"/>
        </w:rPr>
        <w:t>-</w:t>
      </w:r>
      <w:r>
        <w:t xml:space="preserve"> </w:t>
      </w:r>
      <w:r>
        <w:rPr>
          <w:lang w:val="en-US"/>
        </w:rPr>
        <w:t>xx</w:t>
      </w:r>
      <w:r>
        <w:t xml:space="preserve"> </w:t>
      </w:r>
      <w:r>
        <w:rPr>
          <w:rFonts w:ascii="黑体"/>
        </w:rPr>
        <w:t>-</w:t>
      </w:r>
      <w:r>
        <w:t xml:space="preserve"> </w:t>
      </w:r>
      <w:r>
        <w:rPr>
          <w:lang w:val="en-US"/>
        </w:rPr>
        <w:t>xx</w:t>
      </w:r>
      <w:bookmarkStart w:id="144" w:name="_GoBack"/>
      <w:bookmarkEnd w:id="144"/>
      <w:r>
        <w:rPr>
          <w:rFonts w:hint="eastAsia"/>
        </w:rPr>
        <w:t>实施</w:t>
      </w:r>
    </w:p>
    <w:p>
      <w:pPr>
        <w:pStyle w:val="151"/>
        <w:framePr w:h="584" w:hRule="exact" w:hSpace="181" w:vSpace="181" w:y="15027"/>
        <w:rPr>
          <w:rFonts w:hAnsi="黑体"/>
        </w:rPr>
      </w:pPr>
      <w:r>
        <w:rPr>
          <w:rFonts w:hint="eastAsia" w:hAnsi="黑体"/>
          <w:w w:val="100"/>
          <w:sz w:val="28"/>
        </w:rPr>
        <w:t>江西省茶叶协会</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pPr>
      <w:bookmarkStart w:id="1" w:name="BookMark1"/>
      <w:bookmarkStart w:id="2" w:name="_Toc86396455"/>
      <w:bookmarkStart w:id="3" w:name="_Toc86352769"/>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"_Toc86397018" </w:instrText>
      </w:r>
      <w:r>
        <w:fldChar w:fldCharType="separate"/>
      </w:r>
      <w:r>
        <w:rPr>
          <w:rStyle w:val="30"/>
        </w:rPr>
        <w:t>前言</w:t>
      </w:r>
      <w:r>
        <w:tab/>
      </w:r>
      <w:r>
        <w:fldChar w:fldCharType="begin"/>
      </w:r>
      <w:r>
        <w:instrText xml:space="preserve"> PAGEREF _Toc86397018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"_Toc86397019" </w:instrText>
      </w:r>
      <w:r>
        <w:fldChar w:fldCharType="separate"/>
      </w:r>
      <w:r>
        <w:rPr>
          <w:rStyle w:val="30"/>
        </w:rPr>
        <w:t>1  范围</w:t>
      </w:r>
      <w:r>
        <w:tab/>
      </w:r>
      <w:r>
        <w:fldChar w:fldCharType="begin"/>
      </w:r>
      <w:r>
        <w:instrText xml:space="preserve"> PAGEREF _Toc86397019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"_Toc86397020" </w:instrText>
      </w:r>
      <w:r>
        <w:fldChar w:fldCharType="separate"/>
      </w:r>
      <w:r>
        <w:rPr>
          <w:rStyle w:val="30"/>
        </w:rPr>
        <w:t>2  规范性引用文件</w:t>
      </w:r>
      <w:r>
        <w:tab/>
      </w:r>
      <w:r>
        <w:fldChar w:fldCharType="begin"/>
      </w:r>
      <w:r>
        <w:instrText xml:space="preserve"> PAGEREF _Toc86397020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"_Toc86397021" </w:instrText>
      </w:r>
      <w:r>
        <w:fldChar w:fldCharType="separate"/>
      </w:r>
      <w:r>
        <w:rPr>
          <w:rStyle w:val="30"/>
        </w:rPr>
        <w:t>3  术语和定义</w:t>
      </w:r>
      <w:r>
        <w:tab/>
      </w:r>
      <w:r>
        <w:fldChar w:fldCharType="begin"/>
      </w:r>
      <w:r>
        <w:instrText xml:space="preserve"> PAGEREF _Toc86397021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"_Toc86397022" </w:instrText>
      </w:r>
      <w:r>
        <w:fldChar w:fldCharType="separate"/>
      </w:r>
      <w:r>
        <w:rPr>
          <w:rStyle w:val="30"/>
        </w:rPr>
        <w:t>4  产品分级与实物标准样</w:t>
      </w:r>
      <w:r>
        <w:tab/>
      </w:r>
      <w:r>
        <w:fldChar w:fldCharType="begin"/>
      </w:r>
      <w:r>
        <w:instrText xml:space="preserve"> PAGEREF _Toc86397022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"_Toc86397023" </w:instrText>
      </w:r>
      <w:r>
        <w:fldChar w:fldCharType="separate"/>
      </w:r>
      <w:r>
        <w:rPr>
          <w:rStyle w:val="30"/>
        </w:rPr>
        <w:t>5  要求</w:t>
      </w:r>
      <w:r>
        <w:tab/>
      </w:r>
      <w:r>
        <w:fldChar w:fldCharType="begin"/>
      </w:r>
      <w:r>
        <w:instrText xml:space="preserve"> PAGEREF _Toc86397023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"_Toc86397024" </w:instrText>
      </w:r>
      <w:r>
        <w:fldChar w:fldCharType="separate"/>
      </w:r>
      <w:r>
        <w:rPr>
          <w:rStyle w:val="30"/>
        </w:rPr>
        <w:t>6  检验规则</w:t>
      </w:r>
      <w:r>
        <w:tab/>
      </w:r>
      <w:r>
        <w:fldChar w:fldCharType="begin"/>
      </w:r>
      <w:r>
        <w:instrText xml:space="preserve"> PAGEREF _Toc86397024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"_Toc86397025" </w:instrText>
      </w:r>
      <w:r>
        <w:fldChar w:fldCharType="separate"/>
      </w:r>
      <w:r>
        <w:rPr>
          <w:rStyle w:val="30"/>
        </w:rPr>
        <w:t>7  标志标签、包装、运输和贮存</w:t>
      </w:r>
      <w:r>
        <w:tab/>
      </w:r>
      <w:r>
        <w:fldChar w:fldCharType="begin"/>
      </w:r>
      <w:r>
        <w:instrText xml:space="preserve"> PAGEREF _Toc86397025 \h </w:instrText>
      </w:r>
      <w:r>
        <w:fldChar w:fldCharType="separate"/>
      </w:r>
      <w:r>
        <w:t>4</w:t>
      </w:r>
      <w:r>
        <w:fldChar w:fldCharType="end"/>
      </w:r>
      <w:r>
        <w:fldChar w:fldCharType="end"/>
      </w:r>
    </w:p>
    <w:p>
      <w:pPr>
        <w:pStyle w:val="91"/>
        <w:spacing w:after="468"/>
        <w:sectPr>
          <w:headerReference r:id="rId9" w:type="default"/>
          <w:footerReference r:id="rId11" w:type="default"/>
          <w:headerReference r:id="rId10" w:type="even"/>
          <w:footerReference r:id="rId12"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1"/>
    <w:p>
      <w:pPr>
        <w:pStyle w:val="89"/>
        <w:spacing w:after="468"/>
      </w:pPr>
      <w:bookmarkStart w:id="4" w:name="_Toc86397018"/>
      <w:bookmarkStart w:id="5" w:name="BookMark2"/>
      <w:r>
        <w:rPr>
          <w:spacing w:val="320"/>
        </w:rPr>
        <w:t>前</w:t>
      </w:r>
      <w:r>
        <w:t>言</w:t>
      </w:r>
      <w:bookmarkEnd w:id="2"/>
      <w:bookmarkEnd w:id="3"/>
      <w:bookmarkEnd w:id="4"/>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本文件由江西省茶叶协会提出并归口。</w:t>
      </w:r>
    </w:p>
    <w:p>
      <w:pPr>
        <w:pStyle w:val="56"/>
        <w:ind w:firstLine="420"/>
      </w:pPr>
      <w:r>
        <w:rPr>
          <w:rFonts w:hint="eastAsia"/>
        </w:rPr>
        <w:t>本文件起草单位：</w:t>
      </w:r>
      <w:r>
        <w:rPr>
          <w:rFonts w:hint="eastAsia"/>
          <w:szCs w:val="21"/>
        </w:rPr>
        <w:t>遂川</w:t>
      </w:r>
      <w:r>
        <w:rPr>
          <w:rFonts w:hint="eastAsia" w:hAnsi="宋体"/>
          <w:szCs w:val="21"/>
        </w:rPr>
        <w:t>县茶产业发展中心</w:t>
      </w:r>
      <w:r>
        <w:rPr>
          <w:rFonts w:hint="eastAsia"/>
        </w:rPr>
        <w:t>、遂川县狗牯脑茶叶协会、江西华中标准化事务所、江西省茶叶协会。</w:t>
      </w:r>
    </w:p>
    <w:p>
      <w:pPr>
        <w:pStyle w:val="56"/>
        <w:ind w:firstLine="420"/>
      </w:pPr>
      <w:r>
        <w:rPr>
          <w:rFonts w:hint="eastAsia"/>
        </w:rPr>
        <w:t>本文件主要起草人：郭路生、陈盛畅、张瑞祥、张成才、曾斌、郭文娟、袁三华、肖娟芳、罗惠升、黄衍庭、刘薇、曾永强、迟令全。</w:t>
      </w:r>
    </w:p>
    <w:p>
      <w:pPr>
        <w:pStyle w:val="56"/>
        <w:ind w:firstLine="420"/>
      </w:pPr>
    </w:p>
    <w:p>
      <w:pPr>
        <w:pStyle w:val="56"/>
        <w:ind w:firstLine="420"/>
        <w:sectPr>
          <w:headerReference r:id="rId13" w:type="default"/>
          <w:footerReference r:id="rId15" w:type="default"/>
          <w:headerReference r:id="rId14" w:type="even"/>
          <w:footerReference r:id="rId16" w:type="even"/>
          <w:pgSz w:w="11906" w:h="16838"/>
          <w:pgMar w:top="1871" w:right="1134" w:bottom="1134" w:left="1134" w:header="1418" w:footer="1134" w:gutter="284"/>
          <w:pgNumType w:fmt="upperRoman"/>
          <w:cols w:space="425" w:num="1"/>
          <w:formProt w:val="0"/>
          <w:docGrid w:type="lines" w:linePitch="312" w:charSpace="0"/>
        </w:sectPr>
      </w:pPr>
    </w:p>
    <w:bookmarkEnd w:id="5"/>
    <w:p>
      <w:pPr>
        <w:spacing w:line="20" w:lineRule="exact"/>
        <w:jc w:val="center"/>
        <w:rPr>
          <w:rFonts w:ascii="黑体" w:hAnsi="黑体" w:eastAsia="黑体"/>
          <w:sz w:val="32"/>
          <w:szCs w:val="32"/>
        </w:rPr>
      </w:pPr>
      <w:bookmarkStart w:id="6" w:name="BookMark4"/>
    </w:p>
    <w:p>
      <w:pPr>
        <w:spacing w:line="20" w:lineRule="exact"/>
        <w:jc w:val="center"/>
        <w:rPr>
          <w:rFonts w:ascii="黑体" w:hAnsi="黑体" w:eastAsia="黑体"/>
          <w:sz w:val="32"/>
          <w:szCs w:val="32"/>
        </w:rPr>
      </w:pPr>
    </w:p>
    <w:sdt>
      <w:sdtPr>
        <w:tag w:val="NEW_STAND_NAME"/>
        <w:id w:val="595910757"/>
        <w:lock w:val="sdtLocked"/>
        <w:placeholder>
          <w:docPart w:val="8904DB9BA71941888E106B17B9747F06"/>
        </w:placeholder>
      </w:sdtPr>
      <w:sdtContent>
        <w:p>
          <w:pPr>
            <w:pStyle w:val="177"/>
            <w:spacing w:before="567" w:beforeLines="182" w:after="686" w:afterLines="220"/>
          </w:pPr>
          <w:bookmarkStart w:id="7" w:name="NEW_STAND_NAME"/>
          <w:r>
            <w:rPr>
              <w:rFonts w:hint="eastAsia"/>
            </w:rPr>
            <w:t>狗牯脑红茶</w:t>
          </w:r>
        </w:p>
      </w:sdtContent>
    </w:sdt>
    <w:bookmarkEnd w:id="7"/>
    <w:p>
      <w:pPr>
        <w:pStyle w:val="104"/>
        <w:spacing w:before="312" w:after="312"/>
      </w:pPr>
      <w:bookmarkStart w:id="8" w:name="_Toc24884218"/>
      <w:bookmarkStart w:id="9" w:name="_Toc85979959"/>
      <w:bookmarkStart w:id="10" w:name="_Toc26986771"/>
      <w:bookmarkStart w:id="11" w:name="_Toc24884211"/>
      <w:bookmarkStart w:id="12" w:name="_Toc26648465"/>
      <w:bookmarkStart w:id="13" w:name="_Toc86397019"/>
      <w:bookmarkStart w:id="14" w:name="_Toc86396456"/>
      <w:bookmarkStart w:id="15" w:name="_Toc17233333"/>
      <w:bookmarkStart w:id="16" w:name="_Toc86352770"/>
      <w:bookmarkStart w:id="17" w:name="_Toc26718930"/>
      <w:bookmarkStart w:id="18" w:name="_Toc17233325"/>
      <w:bookmarkStart w:id="19" w:name="_Toc26986530"/>
      <w:r>
        <w:rPr>
          <w:rFonts w:hint="eastAsia"/>
        </w:rPr>
        <w:t>范围</w:t>
      </w:r>
      <w:bookmarkEnd w:id="8"/>
      <w:bookmarkEnd w:id="9"/>
      <w:bookmarkEnd w:id="10"/>
      <w:bookmarkEnd w:id="11"/>
      <w:bookmarkEnd w:id="12"/>
      <w:bookmarkEnd w:id="13"/>
      <w:bookmarkEnd w:id="14"/>
      <w:bookmarkEnd w:id="15"/>
      <w:bookmarkEnd w:id="16"/>
      <w:bookmarkEnd w:id="17"/>
      <w:bookmarkEnd w:id="18"/>
      <w:bookmarkEnd w:id="19"/>
    </w:p>
    <w:p>
      <w:pPr>
        <w:pStyle w:val="56"/>
        <w:ind w:firstLine="420"/>
      </w:pPr>
      <w:bookmarkStart w:id="20" w:name="_Toc24884212"/>
      <w:bookmarkStart w:id="21" w:name="_Toc17233334"/>
      <w:bookmarkStart w:id="22" w:name="_Toc24884219"/>
      <w:bookmarkStart w:id="23" w:name="_Toc26648466"/>
      <w:bookmarkStart w:id="24" w:name="_Toc17233326"/>
      <w:r>
        <w:rPr>
          <w:rFonts w:hint="eastAsia"/>
        </w:rPr>
        <w:t>本文件规定了狗牯脑红茶的术语和定义、产品分级与实物标准样、要求、检验规则、标志标签、包装、运输和贮存。</w:t>
      </w:r>
    </w:p>
    <w:p>
      <w:pPr>
        <w:pStyle w:val="56"/>
        <w:ind w:firstLine="420"/>
      </w:pPr>
      <w:r>
        <w:rPr>
          <w:rFonts w:hint="eastAsia"/>
        </w:rPr>
        <w:t>本文件适用于以遂川县域内狗牯脑茶树品种及其他茶树品种的芽叶为原料，经萎凋、揉捻、发酵、整形和干燥等工艺加工制成，具有“外形紧结弯曲、乌润显金毫，香气显甜香、滋味醇厚甘甜、汤色红艳明亮，叶底红亮”等品质特征的红茶。</w:t>
      </w:r>
    </w:p>
    <w:p>
      <w:pPr>
        <w:pStyle w:val="104"/>
        <w:spacing w:before="312" w:after="312"/>
      </w:pPr>
      <w:bookmarkStart w:id="25" w:name="_Toc86352771"/>
      <w:bookmarkStart w:id="26" w:name="_Toc86397020"/>
      <w:bookmarkStart w:id="27" w:name="_Toc86396457"/>
      <w:bookmarkStart w:id="28" w:name="_Toc26986772"/>
      <w:bookmarkStart w:id="29" w:name="_Toc85979960"/>
      <w:bookmarkStart w:id="30" w:name="_Toc26718931"/>
      <w:bookmarkStart w:id="31" w:name="_Toc26986531"/>
      <w:r>
        <w:rPr>
          <w:rFonts w:hint="eastAsia"/>
        </w:rPr>
        <w:t>规范性引用文件</w:t>
      </w:r>
      <w:bookmarkEnd w:id="20"/>
      <w:bookmarkEnd w:id="21"/>
      <w:bookmarkEnd w:id="22"/>
      <w:bookmarkEnd w:id="23"/>
      <w:bookmarkEnd w:id="24"/>
      <w:bookmarkEnd w:id="25"/>
      <w:bookmarkEnd w:id="26"/>
      <w:bookmarkEnd w:id="27"/>
      <w:bookmarkEnd w:id="28"/>
      <w:bookmarkEnd w:id="29"/>
      <w:bookmarkEnd w:id="30"/>
      <w:bookmarkEnd w:id="31"/>
    </w:p>
    <w:sdt>
      <w:sdtPr>
        <w:rPr>
          <w:rFonts w:hint="eastAsia"/>
        </w:rPr>
        <w:id w:val="715848253"/>
        <w:placeholder>
          <w:docPart w:val="347BFA58D04940EA93726E4DF4D130A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191  包装储运图示标志</w:t>
      </w:r>
    </w:p>
    <w:p>
      <w:pPr>
        <w:pStyle w:val="56"/>
        <w:ind w:firstLine="420"/>
      </w:pPr>
      <w:r>
        <w:rPr>
          <w:rFonts w:hint="eastAsia"/>
        </w:rPr>
        <w:t>GB 2762  食品安全国家标准</w:t>
      </w:r>
      <w:r>
        <w:t xml:space="preserve">  </w:t>
      </w:r>
      <w:r>
        <w:rPr>
          <w:rFonts w:hint="eastAsia"/>
        </w:rPr>
        <w:t>食品中污染物限量</w:t>
      </w:r>
    </w:p>
    <w:p>
      <w:pPr>
        <w:pStyle w:val="56"/>
        <w:ind w:firstLine="420"/>
      </w:pPr>
      <w:r>
        <w:rPr>
          <w:rFonts w:hint="eastAsia"/>
        </w:rPr>
        <w:t>GB 2763  食品安全国家标准</w:t>
      </w:r>
      <w:r>
        <w:t xml:space="preserve">  </w:t>
      </w:r>
      <w:r>
        <w:rPr>
          <w:rFonts w:hint="eastAsia"/>
        </w:rPr>
        <w:t>食品中农药最大残留限量</w:t>
      </w:r>
    </w:p>
    <w:p>
      <w:pPr>
        <w:pStyle w:val="56"/>
        <w:ind w:firstLine="420"/>
      </w:pPr>
      <w:r>
        <w:rPr>
          <w:rFonts w:hint="eastAsia"/>
        </w:rPr>
        <w:t>GB 4806.7  食品安全国家标准</w:t>
      </w:r>
      <w:r>
        <w:t xml:space="preserve">  </w:t>
      </w:r>
      <w:r>
        <w:rPr>
          <w:rFonts w:hint="eastAsia"/>
        </w:rPr>
        <w:t>食品接触用塑料材料及制品</w:t>
      </w:r>
    </w:p>
    <w:p>
      <w:pPr>
        <w:pStyle w:val="56"/>
        <w:ind w:firstLine="420"/>
      </w:pPr>
      <w:r>
        <w:rPr>
          <w:rFonts w:hint="eastAsia"/>
        </w:rPr>
        <w:t>GB 4806.8  食品安全国家标准</w:t>
      </w:r>
      <w:r>
        <w:t xml:space="preserve">  </w:t>
      </w:r>
      <w:r>
        <w:rPr>
          <w:rFonts w:hint="eastAsia"/>
        </w:rPr>
        <w:t>食品接触用纸和纸板材料及制品</w:t>
      </w:r>
    </w:p>
    <w:p>
      <w:pPr>
        <w:pStyle w:val="56"/>
        <w:ind w:firstLine="420"/>
      </w:pPr>
      <w:r>
        <w:rPr>
          <w:rFonts w:hint="eastAsia"/>
        </w:rPr>
        <w:t>GB 5009.3  食品安全国家标准</w:t>
      </w:r>
      <w:r>
        <w:t xml:space="preserve">  </w:t>
      </w:r>
      <w:r>
        <w:rPr>
          <w:rFonts w:hint="eastAsia"/>
        </w:rPr>
        <w:t>食品中水分的测定</w:t>
      </w:r>
    </w:p>
    <w:p>
      <w:pPr>
        <w:pStyle w:val="56"/>
        <w:ind w:firstLine="420"/>
      </w:pPr>
      <w:r>
        <w:rPr>
          <w:rFonts w:hint="eastAsia"/>
        </w:rPr>
        <w:t>GB 5009.4  食品安全国家标准</w:t>
      </w:r>
      <w:r>
        <w:t xml:space="preserve">  </w:t>
      </w:r>
      <w:r>
        <w:rPr>
          <w:rFonts w:hint="eastAsia"/>
        </w:rPr>
        <w:t>食品中灰分的测定</w:t>
      </w:r>
    </w:p>
    <w:p>
      <w:pPr>
        <w:pStyle w:val="56"/>
        <w:ind w:firstLine="420"/>
      </w:pPr>
      <w:r>
        <w:rPr>
          <w:rFonts w:hint="eastAsia"/>
        </w:rPr>
        <w:t>GB 7718  食品安全国家标准</w:t>
      </w:r>
      <w:r>
        <w:t xml:space="preserve">  </w:t>
      </w:r>
      <w:r>
        <w:rPr>
          <w:rFonts w:hint="eastAsia"/>
        </w:rPr>
        <w:t>预包装食品标签通则</w:t>
      </w:r>
    </w:p>
    <w:p>
      <w:pPr>
        <w:pStyle w:val="56"/>
        <w:ind w:firstLine="420"/>
      </w:pPr>
      <w:r>
        <w:rPr>
          <w:rFonts w:hint="eastAsia"/>
        </w:rPr>
        <w:t>GB/T 8302  茶</w:t>
      </w:r>
      <w:r>
        <w:t xml:space="preserve">  </w:t>
      </w:r>
      <w:r>
        <w:rPr>
          <w:rFonts w:hint="eastAsia"/>
        </w:rPr>
        <w:t>取样</w:t>
      </w:r>
    </w:p>
    <w:p>
      <w:pPr>
        <w:pStyle w:val="56"/>
        <w:ind w:firstLine="420"/>
      </w:pPr>
      <w:r>
        <w:rPr>
          <w:rFonts w:hint="eastAsia"/>
        </w:rPr>
        <w:t>GB/T 8305  茶</w:t>
      </w:r>
      <w:r>
        <w:t xml:space="preserve">  </w:t>
      </w:r>
      <w:r>
        <w:rPr>
          <w:rFonts w:hint="eastAsia"/>
        </w:rPr>
        <w:t>水浸出物测定</w:t>
      </w:r>
    </w:p>
    <w:p>
      <w:pPr>
        <w:pStyle w:val="56"/>
        <w:ind w:firstLine="420"/>
      </w:pPr>
      <w:r>
        <w:rPr>
          <w:rFonts w:hint="eastAsia"/>
        </w:rPr>
        <w:t>GB/T 8311  茶</w:t>
      </w:r>
      <w:r>
        <w:t xml:space="preserve">  </w:t>
      </w:r>
      <w:r>
        <w:rPr>
          <w:rFonts w:hint="eastAsia"/>
        </w:rPr>
        <w:t>粉末和碎茶含量的测定</w:t>
      </w:r>
    </w:p>
    <w:p>
      <w:pPr>
        <w:pStyle w:val="56"/>
        <w:ind w:firstLine="420"/>
      </w:pPr>
      <w:r>
        <w:rPr>
          <w:rFonts w:hint="eastAsia"/>
        </w:rPr>
        <w:t>GB 9683  复合食品包装袋卫生标准</w:t>
      </w:r>
    </w:p>
    <w:p>
      <w:pPr>
        <w:pStyle w:val="56"/>
        <w:ind w:firstLine="420"/>
      </w:pPr>
      <w:r>
        <w:rPr>
          <w:rFonts w:hint="eastAsia"/>
        </w:rPr>
        <w:t>GB/T 14487  茶叶感官审评术语</w:t>
      </w:r>
    </w:p>
    <w:p>
      <w:pPr>
        <w:pStyle w:val="56"/>
        <w:ind w:firstLine="420"/>
      </w:pPr>
      <w:r>
        <w:rPr>
          <w:rFonts w:hint="eastAsia"/>
        </w:rPr>
        <w:t>GB/T 18795  茶叶标准样品制备技术条件</w:t>
      </w:r>
    </w:p>
    <w:p>
      <w:pPr>
        <w:pStyle w:val="56"/>
        <w:ind w:firstLine="420"/>
      </w:pPr>
      <w:r>
        <w:rPr>
          <w:rFonts w:hint="eastAsia"/>
        </w:rPr>
        <w:t>GB/T 23776  茶叶感官审评方法　</w:t>
      </w:r>
    </w:p>
    <w:p>
      <w:pPr>
        <w:pStyle w:val="56"/>
        <w:ind w:firstLine="420"/>
      </w:pPr>
      <w:r>
        <w:rPr>
          <w:rFonts w:hint="eastAsia"/>
        </w:rPr>
        <w:t>GB/T 30375  茶叶贮存</w:t>
      </w:r>
    </w:p>
    <w:p>
      <w:pPr>
        <w:pStyle w:val="56"/>
        <w:ind w:firstLine="420"/>
      </w:pPr>
      <w:r>
        <w:rPr>
          <w:rFonts w:hint="eastAsia"/>
        </w:rPr>
        <w:t>GH/T 1070  茶叶包装通则　</w:t>
      </w:r>
    </w:p>
    <w:p>
      <w:pPr>
        <w:pStyle w:val="56"/>
        <w:ind w:firstLine="420"/>
      </w:pPr>
      <w:r>
        <w:rPr>
          <w:rFonts w:hint="eastAsia"/>
        </w:rPr>
        <w:t>JJF 1070  定量包装商品净含量计量检验规则</w:t>
      </w:r>
    </w:p>
    <w:p>
      <w:pPr>
        <w:pStyle w:val="231"/>
      </w:pPr>
      <w:r>
        <w:rPr>
          <w:rFonts w:hint="eastAsia"/>
        </w:rPr>
        <w:t>定量包装商品计量监督管理办法</w:t>
      </w:r>
      <w:r>
        <w:t xml:space="preserve">  </w:t>
      </w:r>
      <w:r>
        <w:rPr>
          <w:rFonts w:hint="eastAsia"/>
        </w:rPr>
        <w:t>国家质量监督检验检疫总局令〔2005〕第75号令</w:t>
      </w:r>
    </w:p>
    <w:p>
      <w:pPr>
        <w:pStyle w:val="56"/>
        <w:ind w:firstLine="420"/>
      </w:pPr>
      <w:r>
        <w:rPr>
          <w:rFonts w:hint="eastAsia"/>
        </w:rPr>
        <w:t>国家质量监督检验检疫总局关于修改《食品标识管理规定》的决定（国家质量监督检验检疫总局令〔200</w:t>
      </w:r>
      <w:r>
        <w:t>9</w:t>
      </w:r>
      <w:r>
        <w:rPr>
          <w:rFonts w:hint="eastAsia"/>
        </w:rPr>
        <w:t>〕第123号）</w:t>
      </w:r>
    </w:p>
    <w:p>
      <w:pPr>
        <w:pStyle w:val="104"/>
        <w:spacing w:before="312" w:after="312"/>
      </w:pPr>
      <w:bookmarkStart w:id="32" w:name="_Toc86396458"/>
      <w:bookmarkStart w:id="33" w:name="_Toc85979961"/>
      <w:bookmarkStart w:id="34" w:name="_Toc86352772"/>
      <w:bookmarkStart w:id="35" w:name="_Toc86397021"/>
      <w:r>
        <w:rPr>
          <w:rFonts w:hint="eastAsia"/>
          <w:szCs w:val="21"/>
        </w:rPr>
        <w:t>术语和定义</w:t>
      </w:r>
      <w:bookmarkEnd w:id="32"/>
      <w:bookmarkEnd w:id="33"/>
      <w:bookmarkEnd w:id="34"/>
      <w:bookmarkEnd w:id="35"/>
    </w:p>
    <w:sdt>
      <w:sdtPr>
        <w:id w:val="-1909835108"/>
        <w:placeholder>
          <w:docPart w:val="5439D4C7A4B3417CA75BE0A647DD95E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36" w:name="_Toc26986532"/>
          <w:bookmarkEnd w:id="36"/>
          <w:r>
            <w:t>GB/T 14487界定的以及下列术语和定义适用于本文件。</w:t>
          </w:r>
        </w:p>
      </w:sdtContent>
    </w:sdt>
    <w:p>
      <w:pPr>
        <w:pStyle w:val="223"/>
        <w:ind w:left="420" w:hanging="420" w:hangingChars="200"/>
        <w:rPr>
          <w:rFonts w:ascii="黑体" w:hAnsi="黑体" w:eastAsia="黑体"/>
        </w:rPr>
      </w:pPr>
    </w:p>
    <w:p>
      <w:pPr>
        <w:pStyle w:val="223"/>
        <w:numPr>
          <w:ilvl w:val="0"/>
          <w:numId w:val="0"/>
        </w:numPr>
        <w:ind w:left="420"/>
        <w:rPr>
          <w:rFonts w:ascii="黑体" w:hAnsi="黑体" w:eastAsia="黑体"/>
        </w:rPr>
      </w:pPr>
      <w:r>
        <w:rPr>
          <w:rFonts w:hint="eastAsia" w:ascii="黑体" w:hAnsi="黑体" w:eastAsia="黑体"/>
        </w:rPr>
        <w:t>狗牯脑红茶  Gougunao black tea</w:t>
      </w:r>
    </w:p>
    <w:p>
      <w:pPr>
        <w:pStyle w:val="56"/>
        <w:ind w:firstLine="420"/>
      </w:pPr>
      <w:r>
        <w:rPr>
          <w:rFonts w:hint="eastAsia"/>
        </w:rPr>
        <w:t>采用遂川县域内狗牯脑茶树品种及其他茶树品种的芽叶为原料，经萎凋、揉捻、发酵、整形和干燥等工艺加工制成，具有“外形紧结弯曲、乌润显金毫，香气显甜香、滋味醇厚甘甜、汤色红艳明亮，叶底红亮”等品质特征的红茶。</w:t>
      </w:r>
    </w:p>
    <w:p>
      <w:pPr>
        <w:pStyle w:val="104"/>
        <w:spacing w:before="312" w:after="312"/>
      </w:pPr>
      <w:bookmarkStart w:id="37" w:name="_Toc488503022"/>
      <w:bookmarkStart w:id="38" w:name="_Toc18090225"/>
      <w:bookmarkStart w:id="39" w:name="_Toc86396459"/>
      <w:bookmarkStart w:id="40" w:name="_Toc702412"/>
      <w:bookmarkStart w:id="41" w:name="_Toc488502921"/>
      <w:bookmarkStart w:id="42" w:name="_Toc490555013"/>
      <w:bookmarkStart w:id="43" w:name="_Toc488502992"/>
      <w:bookmarkStart w:id="44" w:name="_Toc86397022"/>
      <w:bookmarkStart w:id="45" w:name="_Toc5609"/>
      <w:bookmarkStart w:id="46" w:name="_Toc31808822"/>
      <w:r>
        <w:rPr>
          <w:rFonts w:hint="eastAsia"/>
        </w:rPr>
        <w:t>产品分级与实物标准样</w:t>
      </w:r>
      <w:bookmarkEnd w:id="37"/>
      <w:bookmarkEnd w:id="38"/>
      <w:bookmarkEnd w:id="39"/>
      <w:bookmarkEnd w:id="40"/>
      <w:bookmarkEnd w:id="41"/>
      <w:bookmarkEnd w:id="42"/>
      <w:bookmarkEnd w:id="43"/>
      <w:bookmarkEnd w:id="44"/>
      <w:bookmarkEnd w:id="45"/>
      <w:bookmarkEnd w:id="46"/>
    </w:p>
    <w:p>
      <w:pPr>
        <w:pStyle w:val="105"/>
        <w:spacing w:before="156" w:after="156"/>
      </w:pPr>
      <w:bookmarkStart w:id="47" w:name="_Toc488502993"/>
      <w:bookmarkStart w:id="48" w:name="_Toc488502922"/>
      <w:bookmarkStart w:id="49" w:name="_Toc30607"/>
      <w:bookmarkStart w:id="50" w:name="_Toc86396460"/>
      <w:r>
        <w:rPr>
          <w:rFonts w:hint="eastAsia"/>
        </w:rPr>
        <w:t>产品</w:t>
      </w:r>
      <w:bookmarkStart w:id="51" w:name="_Toc6640"/>
      <w:bookmarkStart w:id="52" w:name="_Toc488502994"/>
      <w:bookmarkStart w:id="53" w:name="_Toc488502923"/>
      <w:bookmarkEnd w:id="47"/>
      <w:bookmarkEnd w:id="48"/>
      <w:bookmarkEnd w:id="49"/>
      <w:r>
        <w:rPr>
          <w:rFonts w:hint="eastAsia"/>
        </w:rPr>
        <w:t>分级</w:t>
      </w:r>
      <w:bookmarkEnd w:id="50"/>
      <w:bookmarkEnd w:id="51"/>
    </w:p>
    <w:p>
      <w:pPr>
        <w:pStyle w:val="231"/>
      </w:pPr>
      <w:r>
        <w:rPr>
          <w:rFonts w:hint="eastAsia"/>
        </w:rPr>
        <w:t>依据原料老嫩及产品品质差异，分为特供特级、贡品特级、特级和壹级四个等级。</w:t>
      </w:r>
      <w:bookmarkEnd w:id="52"/>
      <w:bookmarkEnd w:id="53"/>
    </w:p>
    <w:p>
      <w:pPr>
        <w:pStyle w:val="105"/>
        <w:spacing w:before="156" w:after="156"/>
      </w:pPr>
      <w:bookmarkStart w:id="54" w:name="_Toc20804"/>
      <w:bookmarkStart w:id="55" w:name="_Toc86396461"/>
      <w:bookmarkStart w:id="56" w:name="_Toc488502995"/>
      <w:bookmarkStart w:id="57" w:name="_Toc488502924"/>
      <w:r>
        <w:rPr>
          <w:rFonts w:hint="eastAsia"/>
        </w:rPr>
        <w:t>实物标准样</w:t>
      </w:r>
      <w:bookmarkEnd w:id="54"/>
      <w:bookmarkEnd w:id="55"/>
    </w:p>
    <w:p>
      <w:pPr>
        <w:pStyle w:val="231"/>
      </w:pPr>
      <w:r>
        <w:rPr>
          <w:rFonts w:hint="eastAsia"/>
        </w:rPr>
        <w:t>产品的每一等级均设置实物标准样，各为该级产品品质的最低界限。标准样一般每三年换配一次，按GB/T 18795的规定执行。</w:t>
      </w:r>
      <w:bookmarkEnd w:id="56"/>
      <w:bookmarkEnd w:id="57"/>
    </w:p>
    <w:p>
      <w:pPr>
        <w:pStyle w:val="104"/>
        <w:spacing w:before="312" w:after="312"/>
      </w:pPr>
      <w:bookmarkStart w:id="58" w:name="_Toc18090226"/>
      <w:bookmarkStart w:id="59" w:name="_Toc86397023"/>
      <w:bookmarkStart w:id="60" w:name="_Toc12941"/>
      <w:bookmarkStart w:id="61" w:name="_Toc86396462"/>
      <w:bookmarkStart w:id="62" w:name="_Toc488502925"/>
      <w:bookmarkStart w:id="63" w:name="_Toc488503023"/>
      <w:bookmarkStart w:id="64" w:name="_Toc702413"/>
      <w:bookmarkStart w:id="65" w:name="_Toc31808823"/>
      <w:bookmarkStart w:id="66" w:name="_Toc490555014"/>
      <w:bookmarkStart w:id="67" w:name="_Toc488502996"/>
      <w:r>
        <w:rPr>
          <w:rFonts w:hint="eastAsia"/>
        </w:rPr>
        <w:t>要求</w:t>
      </w:r>
      <w:bookmarkEnd w:id="58"/>
      <w:bookmarkEnd w:id="59"/>
      <w:bookmarkEnd w:id="60"/>
      <w:bookmarkEnd w:id="61"/>
      <w:bookmarkEnd w:id="62"/>
      <w:bookmarkEnd w:id="63"/>
      <w:bookmarkEnd w:id="64"/>
      <w:bookmarkEnd w:id="65"/>
      <w:bookmarkEnd w:id="66"/>
      <w:bookmarkEnd w:id="67"/>
    </w:p>
    <w:p>
      <w:pPr>
        <w:pStyle w:val="105"/>
        <w:spacing w:before="156" w:after="156"/>
      </w:pPr>
      <w:bookmarkStart w:id="68" w:name="_Toc488502926"/>
      <w:bookmarkStart w:id="69" w:name="_Toc86396463"/>
      <w:bookmarkStart w:id="70" w:name="_Toc488502997"/>
      <w:bookmarkStart w:id="71" w:name="_Toc4307"/>
      <w:r>
        <w:rPr>
          <w:rFonts w:hint="eastAsia"/>
        </w:rPr>
        <w:t>基本要求</w:t>
      </w:r>
      <w:bookmarkEnd w:id="68"/>
      <w:bookmarkEnd w:id="69"/>
      <w:bookmarkEnd w:id="70"/>
      <w:bookmarkEnd w:id="71"/>
    </w:p>
    <w:p>
      <w:pPr>
        <w:pStyle w:val="56"/>
        <w:ind w:firstLine="420"/>
      </w:pPr>
      <w:r>
        <w:rPr>
          <w:rFonts w:hint="eastAsia"/>
        </w:rPr>
        <w:t>具有红茶的色、香、味，不得含有非茶类物质和任何添加剂、无异味，无异臭，无劣变。</w:t>
      </w:r>
    </w:p>
    <w:p>
      <w:pPr>
        <w:pStyle w:val="105"/>
        <w:spacing w:before="156" w:after="156"/>
      </w:pPr>
      <w:bookmarkStart w:id="72" w:name="_Toc488502999"/>
      <w:bookmarkStart w:id="73" w:name="_Toc488502930"/>
      <w:bookmarkStart w:id="74" w:name="_Toc25823"/>
      <w:bookmarkStart w:id="75" w:name="_Toc86396464"/>
      <w:r>
        <w:rPr>
          <w:rFonts w:hint="eastAsia"/>
        </w:rPr>
        <w:t>感官</w:t>
      </w:r>
      <w:bookmarkEnd w:id="72"/>
      <w:bookmarkEnd w:id="73"/>
      <w:bookmarkEnd w:id="74"/>
      <w:r>
        <w:rPr>
          <w:rFonts w:hint="eastAsia"/>
        </w:rPr>
        <w:t>品质</w:t>
      </w:r>
      <w:bookmarkEnd w:id="75"/>
    </w:p>
    <w:p>
      <w:pPr>
        <w:pStyle w:val="56"/>
        <w:ind w:firstLine="420"/>
      </w:pPr>
      <w:r>
        <w:rPr>
          <w:rFonts w:hint="eastAsia"/>
        </w:rPr>
        <w:t>应符合表1的规定。</w:t>
      </w:r>
    </w:p>
    <w:p>
      <w:pPr>
        <w:pStyle w:val="112"/>
        <w:spacing w:before="156" w:after="156"/>
      </w:pPr>
      <w:r>
        <w:rPr>
          <w:rFonts w:hint="eastAsia"/>
        </w:rPr>
        <w:t>感官品质</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275"/>
        <w:gridCol w:w="993"/>
        <w:gridCol w:w="992"/>
        <w:gridCol w:w="850"/>
        <w:gridCol w:w="993"/>
        <w:gridCol w:w="992"/>
        <w:gridCol w:w="992"/>
        <w:gridCol w:w="992"/>
        <w:gridCol w:w="8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16" w:type="dxa"/>
            <w:vMerge w:val="restart"/>
            <w:tcBorders>
              <w:top w:val="single" w:color="auto" w:sz="8" w:space="0"/>
            </w:tcBorders>
            <w:shd w:val="clear" w:color="auto" w:fill="auto"/>
            <w:vAlign w:val="center"/>
          </w:tcPr>
          <w:p>
            <w:pPr>
              <w:pStyle w:val="178"/>
            </w:pPr>
            <w:r>
              <w:rPr>
                <w:rFonts w:hint="eastAsia"/>
              </w:rPr>
              <w:t>级别</w:t>
            </w:r>
          </w:p>
        </w:tc>
        <w:tc>
          <w:tcPr>
            <w:tcW w:w="4110" w:type="dxa"/>
            <w:gridSpan w:val="4"/>
            <w:tcBorders>
              <w:top w:val="single" w:color="auto" w:sz="8" w:space="0"/>
              <w:bottom w:val="single" w:color="auto" w:sz="8" w:space="0"/>
            </w:tcBorders>
            <w:shd w:val="clear" w:color="auto" w:fill="auto"/>
            <w:vAlign w:val="center"/>
          </w:tcPr>
          <w:p>
            <w:pPr>
              <w:pStyle w:val="178"/>
            </w:pPr>
            <w:r>
              <w:rPr>
                <w:rFonts w:hint="eastAsia"/>
              </w:rPr>
              <w:t>外形</w:t>
            </w:r>
          </w:p>
        </w:tc>
        <w:tc>
          <w:tcPr>
            <w:tcW w:w="3969" w:type="dxa"/>
            <w:gridSpan w:val="4"/>
            <w:tcBorders>
              <w:top w:val="single" w:color="auto" w:sz="8" w:space="0"/>
              <w:bottom w:val="single" w:color="auto" w:sz="8" w:space="0"/>
            </w:tcBorders>
            <w:shd w:val="clear" w:color="auto" w:fill="auto"/>
            <w:vAlign w:val="center"/>
          </w:tcPr>
          <w:p>
            <w:pPr>
              <w:pStyle w:val="178"/>
            </w:pPr>
            <w:r>
              <w:rPr>
                <w:rFonts w:hint="eastAsia"/>
              </w:rPr>
              <w:t>内质</w:t>
            </w:r>
          </w:p>
        </w:tc>
        <w:tc>
          <w:tcPr>
            <w:tcW w:w="839" w:type="dxa"/>
            <w:vMerge w:val="restart"/>
            <w:tcBorders>
              <w:top w:val="single" w:color="auto" w:sz="8" w:space="0"/>
            </w:tcBorders>
            <w:shd w:val="clear" w:color="auto" w:fill="auto"/>
            <w:vAlign w:val="center"/>
          </w:tcPr>
          <w:p>
            <w:pPr>
              <w:pStyle w:val="178"/>
            </w:pPr>
            <w:r>
              <w:rPr>
                <w:rFonts w:hint="eastAsia"/>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vAlign w:val="center"/>
          </w:tcPr>
          <w:p>
            <w:pPr>
              <w:pStyle w:val="178"/>
            </w:pPr>
          </w:p>
        </w:tc>
        <w:tc>
          <w:tcPr>
            <w:tcW w:w="1275" w:type="dxa"/>
            <w:tcBorders>
              <w:top w:val="single" w:color="auto" w:sz="8" w:space="0"/>
            </w:tcBorders>
            <w:shd w:val="clear" w:color="auto" w:fill="auto"/>
            <w:vAlign w:val="center"/>
          </w:tcPr>
          <w:p>
            <w:pPr>
              <w:pStyle w:val="178"/>
            </w:pPr>
            <w:r>
              <w:rPr>
                <w:rFonts w:hint="eastAsia"/>
              </w:rPr>
              <w:t>条索</w:t>
            </w:r>
          </w:p>
        </w:tc>
        <w:tc>
          <w:tcPr>
            <w:tcW w:w="993" w:type="dxa"/>
            <w:tcBorders>
              <w:top w:val="single" w:color="auto" w:sz="8" w:space="0"/>
            </w:tcBorders>
            <w:shd w:val="clear" w:color="auto" w:fill="auto"/>
            <w:vAlign w:val="center"/>
          </w:tcPr>
          <w:p>
            <w:pPr>
              <w:pStyle w:val="178"/>
            </w:pPr>
            <w:r>
              <w:rPr>
                <w:rFonts w:hint="eastAsia"/>
              </w:rPr>
              <w:t>整碎</w:t>
            </w:r>
          </w:p>
        </w:tc>
        <w:tc>
          <w:tcPr>
            <w:tcW w:w="992" w:type="dxa"/>
            <w:tcBorders>
              <w:top w:val="single" w:color="auto" w:sz="8" w:space="0"/>
            </w:tcBorders>
            <w:shd w:val="clear" w:color="auto" w:fill="auto"/>
            <w:vAlign w:val="center"/>
          </w:tcPr>
          <w:p>
            <w:pPr>
              <w:pStyle w:val="178"/>
            </w:pPr>
            <w:r>
              <w:rPr>
                <w:rFonts w:hint="eastAsia"/>
              </w:rPr>
              <w:t>净度</w:t>
            </w:r>
          </w:p>
        </w:tc>
        <w:tc>
          <w:tcPr>
            <w:tcW w:w="850" w:type="dxa"/>
            <w:tcBorders>
              <w:top w:val="single" w:color="auto" w:sz="8" w:space="0"/>
            </w:tcBorders>
            <w:shd w:val="clear" w:color="auto" w:fill="auto"/>
            <w:vAlign w:val="center"/>
          </w:tcPr>
          <w:p>
            <w:pPr>
              <w:pStyle w:val="178"/>
            </w:pPr>
            <w:r>
              <w:rPr>
                <w:rFonts w:hint="eastAsia"/>
              </w:rPr>
              <w:t>色泽</w:t>
            </w:r>
          </w:p>
        </w:tc>
        <w:tc>
          <w:tcPr>
            <w:tcW w:w="993" w:type="dxa"/>
            <w:tcBorders>
              <w:top w:val="single" w:color="auto" w:sz="8" w:space="0"/>
            </w:tcBorders>
            <w:shd w:val="clear" w:color="auto" w:fill="auto"/>
            <w:vAlign w:val="center"/>
          </w:tcPr>
          <w:p>
            <w:pPr>
              <w:pStyle w:val="178"/>
            </w:pPr>
            <w:r>
              <w:rPr>
                <w:rFonts w:hint="eastAsia"/>
              </w:rPr>
              <w:t>香气</w:t>
            </w:r>
          </w:p>
        </w:tc>
        <w:tc>
          <w:tcPr>
            <w:tcW w:w="992" w:type="dxa"/>
            <w:tcBorders>
              <w:top w:val="single" w:color="auto" w:sz="8" w:space="0"/>
            </w:tcBorders>
            <w:shd w:val="clear" w:color="auto" w:fill="auto"/>
            <w:vAlign w:val="center"/>
          </w:tcPr>
          <w:p>
            <w:pPr>
              <w:pStyle w:val="178"/>
            </w:pPr>
            <w:r>
              <w:rPr>
                <w:rFonts w:hint="eastAsia"/>
              </w:rPr>
              <w:t>滋味</w:t>
            </w:r>
          </w:p>
        </w:tc>
        <w:tc>
          <w:tcPr>
            <w:tcW w:w="992" w:type="dxa"/>
            <w:tcBorders>
              <w:top w:val="single" w:color="auto" w:sz="8" w:space="0"/>
            </w:tcBorders>
            <w:shd w:val="clear" w:color="auto" w:fill="auto"/>
            <w:vAlign w:val="center"/>
          </w:tcPr>
          <w:p>
            <w:pPr>
              <w:pStyle w:val="178"/>
            </w:pPr>
            <w:r>
              <w:rPr>
                <w:rFonts w:hint="eastAsia"/>
              </w:rPr>
              <w:t>汤色</w:t>
            </w:r>
          </w:p>
        </w:tc>
        <w:tc>
          <w:tcPr>
            <w:tcW w:w="992" w:type="dxa"/>
            <w:tcBorders>
              <w:top w:val="single" w:color="auto" w:sz="8" w:space="0"/>
            </w:tcBorders>
            <w:shd w:val="clear" w:color="auto" w:fill="auto"/>
            <w:vAlign w:val="center"/>
          </w:tcPr>
          <w:p>
            <w:pPr>
              <w:pStyle w:val="178"/>
            </w:pPr>
            <w:r>
              <w:rPr>
                <w:rFonts w:hint="eastAsia"/>
              </w:rPr>
              <w:t>叶底</w:t>
            </w:r>
          </w:p>
        </w:tc>
        <w:tc>
          <w:tcPr>
            <w:tcW w:w="839"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tcBorders>
              <w:top w:val="single" w:color="auto" w:sz="8" w:space="0"/>
            </w:tcBorders>
            <w:shd w:val="clear" w:color="auto" w:fill="auto"/>
            <w:vAlign w:val="center"/>
          </w:tcPr>
          <w:p>
            <w:pPr>
              <w:pStyle w:val="231"/>
              <w:ind w:firstLine="0" w:firstLineChars="0"/>
              <w:jc w:val="center"/>
              <w:rPr>
                <w:rFonts w:hAnsi="宋体"/>
                <w:sz w:val="18"/>
                <w:szCs w:val="18"/>
              </w:rPr>
            </w:pPr>
            <w:r>
              <w:rPr>
                <w:rFonts w:hint="eastAsia" w:hAnsi="宋体"/>
                <w:sz w:val="18"/>
                <w:szCs w:val="18"/>
              </w:rPr>
              <w:t>特供特级</w:t>
            </w:r>
          </w:p>
        </w:tc>
        <w:tc>
          <w:tcPr>
            <w:tcW w:w="1275" w:type="dxa"/>
            <w:tcBorders>
              <w:top w:val="single" w:color="auto" w:sz="8" w:space="0"/>
            </w:tcBorders>
            <w:shd w:val="clear" w:color="auto" w:fill="auto"/>
            <w:vAlign w:val="center"/>
          </w:tcPr>
          <w:p>
            <w:pPr>
              <w:pStyle w:val="231"/>
              <w:ind w:firstLine="0" w:firstLineChars="0"/>
              <w:jc w:val="left"/>
              <w:rPr>
                <w:rFonts w:hAnsi="宋体"/>
                <w:sz w:val="18"/>
                <w:szCs w:val="18"/>
              </w:rPr>
            </w:pPr>
            <w:r>
              <w:rPr>
                <w:rFonts w:hint="eastAsia" w:hAnsi="宋体"/>
                <w:sz w:val="18"/>
                <w:szCs w:val="18"/>
              </w:rPr>
              <w:t>细嫩紧曲、纤秀</w:t>
            </w:r>
          </w:p>
        </w:tc>
        <w:tc>
          <w:tcPr>
            <w:tcW w:w="993" w:type="dxa"/>
            <w:tcBorders>
              <w:top w:val="single" w:color="auto" w:sz="8" w:space="0"/>
            </w:tcBorders>
            <w:shd w:val="clear" w:color="auto" w:fill="auto"/>
            <w:vAlign w:val="center"/>
          </w:tcPr>
          <w:p>
            <w:pPr>
              <w:pStyle w:val="231"/>
              <w:ind w:firstLine="0" w:firstLineChars="0"/>
              <w:jc w:val="center"/>
              <w:rPr>
                <w:rFonts w:hAnsi="宋体"/>
                <w:sz w:val="18"/>
                <w:szCs w:val="18"/>
              </w:rPr>
            </w:pPr>
            <w:r>
              <w:rPr>
                <w:rFonts w:hint="eastAsia" w:hAnsi="宋体"/>
                <w:sz w:val="18"/>
                <w:szCs w:val="18"/>
              </w:rPr>
              <w:t>匀齐、完整</w:t>
            </w:r>
          </w:p>
        </w:tc>
        <w:tc>
          <w:tcPr>
            <w:tcW w:w="992" w:type="dxa"/>
            <w:tcBorders>
              <w:top w:val="single" w:color="auto" w:sz="8" w:space="0"/>
            </w:tcBorders>
            <w:shd w:val="clear" w:color="auto" w:fill="auto"/>
            <w:vAlign w:val="center"/>
          </w:tcPr>
          <w:p>
            <w:pPr>
              <w:pStyle w:val="231"/>
              <w:ind w:firstLine="0" w:firstLineChars="0"/>
              <w:jc w:val="center"/>
              <w:rPr>
                <w:rFonts w:hAnsi="宋体"/>
                <w:sz w:val="18"/>
                <w:szCs w:val="18"/>
              </w:rPr>
            </w:pPr>
            <w:r>
              <w:rPr>
                <w:rFonts w:hint="eastAsia" w:hAnsi="宋体"/>
                <w:sz w:val="18"/>
                <w:szCs w:val="18"/>
              </w:rPr>
              <w:t>净</w:t>
            </w:r>
          </w:p>
        </w:tc>
        <w:tc>
          <w:tcPr>
            <w:tcW w:w="850" w:type="dxa"/>
            <w:tcBorders>
              <w:top w:val="single" w:color="auto" w:sz="8" w:space="0"/>
            </w:tcBorders>
            <w:shd w:val="clear" w:color="auto" w:fill="auto"/>
            <w:vAlign w:val="center"/>
          </w:tcPr>
          <w:p>
            <w:pPr>
              <w:pStyle w:val="231"/>
              <w:ind w:firstLine="0" w:firstLineChars="0"/>
              <w:jc w:val="center"/>
              <w:rPr>
                <w:rFonts w:hAnsi="宋体"/>
                <w:sz w:val="18"/>
                <w:szCs w:val="18"/>
              </w:rPr>
            </w:pPr>
            <w:r>
              <w:rPr>
                <w:rFonts w:hint="eastAsia" w:hAnsi="宋体"/>
                <w:sz w:val="18"/>
                <w:szCs w:val="18"/>
              </w:rPr>
              <w:t>油润、</w:t>
            </w:r>
          </w:p>
          <w:p>
            <w:pPr>
              <w:pStyle w:val="231"/>
              <w:ind w:firstLine="0" w:firstLineChars="0"/>
              <w:jc w:val="center"/>
              <w:rPr>
                <w:rFonts w:hAnsi="宋体"/>
                <w:sz w:val="18"/>
                <w:szCs w:val="18"/>
              </w:rPr>
            </w:pPr>
            <w:r>
              <w:rPr>
                <w:rFonts w:hint="eastAsia" w:hAnsi="宋体"/>
                <w:sz w:val="18"/>
                <w:szCs w:val="18"/>
              </w:rPr>
              <w:t>披毫</w:t>
            </w:r>
          </w:p>
        </w:tc>
        <w:tc>
          <w:tcPr>
            <w:tcW w:w="993" w:type="dxa"/>
            <w:tcBorders>
              <w:top w:val="single" w:color="auto" w:sz="8" w:space="0"/>
            </w:tcBorders>
            <w:shd w:val="clear" w:color="auto" w:fill="auto"/>
            <w:vAlign w:val="center"/>
          </w:tcPr>
          <w:p>
            <w:pPr>
              <w:pStyle w:val="231"/>
              <w:ind w:firstLine="0" w:firstLineChars="0"/>
              <w:jc w:val="left"/>
              <w:rPr>
                <w:rFonts w:hAnsi="宋体"/>
                <w:sz w:val="18"/>
                <w:szCs w:val="18"/>
              </w:rPr>
            </w:pPr>
            <w:r>
              <w:rPr>
                <w:rFonts w:hint="eastAsia" w:hAnsi="宋体"/>
                <w:sz w:val="18"/>
                <w:szCs w:val="18"/>
              </w:rPr>
              <w:t>鲜嫩甜郁，具花果香</w:t>
            </w:r>
          </w:p>
        </w:tc>
        <w:tc>
          <w:tcPr>
            <w:tcW w:w="992" w:type="dxa"/>
            <w:tcBorders>
              <w:top w:val="single" w:color="auto" w:sz="8" w:space="0"/>
            </w:tcBorders>
            <w:shd w:val="clear" w:color="auto" w:fill="auto"/>
            <w:vAlign w:val="center"/>
          </w:tcPr>
          <w:p>
            <w:pPr>
              <w:pStyle w:val="231"/>
              <w:ind w:firstLine="0" w:firstLineChars="0"/>
              <w:jc w:val="center"/>
              <w:rPr>
                <w:rFonts w:hAnsi="宋体"/>
                <w:sz w:val="18"/>
                <w:szCs w:val="18"/>
              </w:rPr>
            </w:pPr>
            <w:r>
              <w:rPr>
                <w:rFonts w:hint="eastAsia" w:hAnsi="宋体"/>
                <w:sz w:val="18"/>
                <w:szCs w:val="18"/>
              </w:rPr>
              <w:t>甜醇鲜爽</w:t>
            </w:r>
          </w:p>
        </w:tc>
        <w:tc>
          <w:tcPr>
            <w:tcW w:w="992" w:type="dxa"/>
            <w:tcBorders>
              <w:top w:val="single" w:color="auto" w:sz="8" w:space="0"/>
            </w:tcBorders>
            <w:shd w:val="clear" w:color="auto" w:fill="auto"/>
            <w:vAlign w:val="center"/>
          </w:tcPr>
          <w:p>
            <w:pPr>
              <w:pStyle w:val="231"/>
              <w:ind w:firstLine="0" w:firstLineChars="0"/>
              <w:jc w:val="center"/>
              <w:rPr>
                <w:rFonts w:hAnsi="宋体"/>
                <w:sz w:val="18"/>
                <w:szCs w:val="18"/>
              </w:rPr>
            </w:pPr>
            <w:r>
              <w:rPr>
                <w:rFonts w:hint="eastAsia" w:hAnsi="宋体"/>
                <w:sz w:val="18"/>
                <w:szCs w:val="18"/>
              </w:rPr>
              <w:t>橙黄明亮</w:t>
            </w:r>
          </w:p>
        </w:tc>
        <w:tc>
          <w:tcPr>
            <w:tcW w:w="992" w:type="dxa"/>
            <w:tcBorders>
              <w:top w:val="single" w:color="auto" w:sz="8" w:space="0"/>
            </w:tcBorders>
            <w:shd w:val="clear" w:color="auto" w:fill="auto"/>
            <w:vAlign w:val="center"/>
          </w:tcPr>
          <w:p>
            <w:pPr>
              <w:pStyle w:val="231"/>
              <w:ind w:firstLine="0" w:firstLineChars="0"/>
              <w:jc w:val="left"/>
              <w:rPr>
                <w:rFonts w:hAnsi="宋体"/>
                <w:sz w:val="18"/>
                <w:szCs w:val="18"/>
              </w:rPr>
            </w:pPr>
            <w:r>
              <w:rPr>
                <w:rFonts w:hint="eastAsia" w:hAnsi="宋体"/>
                <w:sz w:val="18"/>
                <w:szCs w:val="18"/>
              </w:rPr>
              <w:t>细嫩红匀、完整</w:t>
            </w:r>
          </w:p>
        </w:tc>
        <w:tc>
          <w:tcPr>
            <w:tcW w:w="839" w:type="dxa"/>
            <w:vMerge w:val="restart"/>
            <w:tcBorders>
              <w:top w:val="single" w:color="auto" w:sz="8" w:space="0"/>
            </w:tcBorders>
            <w:shd w:val="clear" w:color="auto" w:fill="auto"/>
            <w:vAlign w:val="center"/>
          </w:tcPr>
          <w:p>
            <w:pPr>
              <w:pStyle w:val="178"/>
            </w:pPr>
            <w:r>
              <w:rPr>
                <w:rFonts w:hint="eastAsia"/>
              </w:rPr>
              <w:t>按GB/T 23776的规定执行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pStyle w:val="231"/>
              <w:ind w:firstLine="0" w:firstLineChars="0"/>
              <w:jc w:val="center"/>
              <w:rPr>
                <w:rFonts w:hAnsi="宋体"/>
                <w:sz w:val="18"/>
                <w:szCs w:val="18"/>
              </w:rPr>
            </w:pPr>
            <w:r>
              <w:rPr>
                <w:rFonts w:hint="eastAsia" w:hAnsi="宋体"/>
                <w:sz w:val="18"/>
                <w:szCs w:val="18"/>
              </w:rPr>
              <w:t>贡品特级</w:t>
            </w:r>
          </w:p>
        </w:tc>
        <w:tc>
          <w:tcPr>
            <w:tcW w:w="1275" w:type="dxa"/>
            <w:shd w:val="clear" w:color="auto" w:fill="auto"/>
            <w:vAlign w:val="center"/>
          </w:tcPr>
          <w:p>
            <w:pPr>
              <w:pStyle w:val="231"/>
              <w:ind w:firstLine="0" w:firstLineChars="0"/>
              <w:jc w:val="center"/>
              <w:rPr>
                <w:rFonts w:hAnsi="宋体"/>
                <w:sz w:val="18"/>
                <w:szCs w:val="18"/>
              </w:rPr>
            </w:pPr>
            <w:r>
              <w:rPr>
                <w:rFonts w:hint="eastAsia" w:hAnsi="宋体"/>
                <w:sz w:val="18"/>
                <w:szCs w:val="18"/>
              </w:rPr>
              <w:t>细紧卷曲</w:t>
            </w:r>
          </w:p>
        </w:tc>
        <w:tc>
          <w:tcPr>
            <w:tcW w:w="993" w:type="dxa"/>
            <w:shd w:val="clear" w:color="auto" w:fill="auto"/>
            <w:vAlign w:val="center"/>
          </w:tcPr>
          <w:p>
            <w:pPr>
              <w:pStyle w:val="231"/>
              <w:ind w:firstLine="0" w:firstLineChars="0"/>
              <w:jc w:val="center"/>
              <w:rPr>
                <w:rFonts w:hAnsi="宋体"/>
                <w:sz w:val="18"/>
                <w:szCs w:val="18"/>
              </w:rPr>
            </w:pPr>
            <w:r>
              <w:rPr>
                <w:rFonts w:hint="eastAsia" w:hAnsi="宋体"/>
                <w:sz w:val="18"/>
                <w:szCs w:val="18"/>
              </w:rPr>
              <w:t>匀齐、完整</w:t>
            </w:r>
          </w:p>
        </w:tc>
        <w:tc>
          <w:tcPr>
            <w:tcW w:w="992" w:type="dxa"/>
            <w:shd w:val="clear" w:color="auto" w:fill="auto"/>
            <w:vAlign w:val="center"/>
          </w:tcPr>
          <w:p>
            <w:pPr>
              <w:pStyle w:val="231"/>
              <w:ind w:firstLine="0" w:firstLineChars="0"/>
              <w:jc w:val="center"/>
              <w:rPr>
                <w:rFonts w:hAnsi="宋体"/>
                <w:sz w:val="18"/>
                <w:szCs w:val="18"/>
              </w:rPr>
            </w:pPr>
            <w:r>
              <w:rPr>
                <w:rFonts w:hint="eastAsia" w:hAnsi="宋体"/>
                <w:sz w:val="18"/>
                <w:szCs w:val="18"/>
              </w:rPr>
              <w:t>净</w:t>
            </w:r>
          </w:p>
        </w:tc>
        <w:tc>
          <w:tcPr>
            <w:tcW w:w="850" w:type="dxa"/>
            <w:shd w:val="clear" w:color="auto" w:fill="auto"/>
            <w:vAlign w:val="center"/>
          </w:tcPr>
          <w:p>
            <w:pPr>
              <w:pStyle w:val="231"/>
              <w:ind w:firstLine="0" w:firstLineChars="0"/>
              <w:jc w:val="center"/>
              <w:rPr>
                <w:rFonts w:hAnsi="宋体"/>
                <w:sz w:val="18"/>
                <w:szCs w:val="18"/>
              </w:rPr>
            </w:pPr>
            <w:r>
              <w:rPr>
                <w:rFonts w:hint="eastAsia" w:hAnsi="宋体"/>
                <w:sz w:val="18"/>
                <w:szCs w:val="18"/>
              </w:rPr>
              <w:t>润、</w:t>
            </w:r>
          </w:p>
          <w:p>
            <w:pPr>
              <w:pStyle w:val="231"/>
              <w:ind w:firstLine="0" w:firstLineChars="0"/>
              <w:jc w:val="center"/>
              <w:rPr>
                <w:rFonts w:hAnsi="宋体"/>
                <w:sz w:val="18"/>
                <w:szCs w:val="18"/>
              </w:rPr>
            </w:pPr>
            <w:r>
              <w:rPr>
                <w:rFonts w:hint="eastAsia" w:hAnsi="宋体"/>
                <w:sz w:val="18"/>
                <w:szCs w:val="18"/>
              </w:rPr>
              <w:t>显毫</w:t>
            </w:r>
          </w:p>
        </w:tc>
        <w:tc>
          <w:tcPr>
            <w:tcW w:w="993" w:type="dxa"/>
            <w:shd w:val="clear" w:color="auto" w:fill="auto"/>
            <w:vAlign w:val="center"/>
          </w:tcPr>
          <w:p>
            <w:pPr>
              <w:pStyle w:val="231"/>
              <w:ind w:firstLine="0" w:firstLineChars="0"/>
              <w:jc w:val="left"/>
              <w:rPr>
                <w:rFonts w:hAnsi="宋体"/>
                <w:sz w:val="18"/>
                <w:szCs w:val="18"/>
              </w:rPr>
            </w:pPr>
            <w:r>
              <w:rPr>
                <w:rFonts w:hint="eastAsia" w:hAnsi="宋体"/>
                <w:sz w:val="18"/>
                <w:szCs w:val="18"/>
              </w:rPr>
              <w:t>嫩甜香，有花果香</w:t>
            </w:r>
          </w:p>
        </w:tc>
        <w:tc>
          <w:tcPr>
            <w:tcW w:w="992" w:type="dxa"/>
            <w:shd w:val="clear" w:color="auto" w:fill="auto"/>
            <w:vAlign w:val="center"/>
          </w:tcPr>
          <w:p>
            <w:pPr>
              <w:pStyle w:val="231"/>
              <w:ind w:firstLine="0" w:firstLineChars="0"/>
              <w:jc w:val="center"/>
              <w:rPr>
                <w:rFonts w:hAnsi="宋体"/>
                <w:sz w:val="18"/>
                <w:szCs w:val="18"/>
              </w:rPr>
            </w:pPr>
            <w:r>
              <w:rPr>
                <w:rFonts w:hint="eastAsia" w:hAnsi="宋体"/>
                <w:sz w:val="18"/>
                <w:szCs w:val="18"/>
              </w:rPr>
              <w:t>甜醇爽口</w:t>
            </w:r>
          </w:p>
        </w:tc>
        <w:tc>
          <w:tcPr>
            <w:tcW w:w="992" w:type="dxa"/>
            <w:shd w:val="clear" w:color="auto" w:fill="auto"/>
            <w:vAlign w:val="center"/>
          </w:tcPr>
          <w:p>
            <w:pPr>
              <w:pStyle w:val="231"/>
              <w:ind w:firstLine="0" w:firstLineChars="0"/>
              <w:jc w:val="center"/>
              <w:rPr>
                <w:rFonts w:hAnsi="宋体"/>
                <w:sz w:val="18"/>
                <w:szCs w:val="18"/>
              </w:rPr>
            </w:pPr>
            <w:r>
              <w:rPr>
                <w:rFonts w:hint="eastAsia" w:hAnsi="宋体"/>
                <w:sz w:val="18"/>
                <w:szCs w:val="18"/>
              </w:rPr>
              <w:t>橙红明亮</w:t>
            </w:r>
          </w:p>
        </w:tc>
        <w:tc>
          <w:tcPr>
            <w:tcW w:w="992" w:type="dxa"/>
            <w:shd w:val="clear" w:color="auto" w:fill="auto"/>
            <w:vAlign w:val="center"/>
          </w:tcPr>
          <w:p>
            <w:pPr>
              <w:pStyle w:val="231"/>
              <w:ind w:firstLine="0" w:firstLineChars="0"/>
              <w:jc w:val="left"/>
              <w:rPr>
                <w:rFonts w:hAnsi="宋体"/>
                <w:sz w:val="18"/>
                <w:szCs w:val="18"/>
              </w:rPr>
            </w:pPr>
            <w:r>
              <w:rPr>
                <w:rFonts w:hint="eastAsia" w:hAnsi="宋体"/>
                <w:sz w:val="18"/>
                <w:szCs w:val="18"/>
              </w:rPr>
              <w:t>匀嫩红亮、较完整</w:t>
            </w:r>
          </w:p>
        </w:tc>
        <w:tc>
          <w:tcPr>
            <w:tcW w:w="839"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pStyle w:val="231"/>
              <w:ind w:firstLine="0" w:firstLineChars="0"/>
              <w:jc w:val="center"/>
              <w:rPr>
                <w:rFonts w:hAnsi="宋体"/>
                <w:sz w:val="18"/>
                <w:szCs w:val="18"/>
              </w:rPr>
            </w:pPr>
            <w:r>
              <w:rPr>
                <w:rFonts w:hint="eastAsia" w:hAnsi="宋体"/>
                <w:sz w:val="18"/>
                <w:szCs w:val="18"/>
              </w:rPr>
              <w:t>特级</w:t>
            </w:r>
          </w:p>
        </w:tc>
        <w:tc>
          <w:tcPr>
            <w:tcW w:w="1275" w:type="dxa"/>
            <w:shd w:val="clear" w:color="auto" w:fill="auto"/>
            <w:vAlign w:val="center"/>
          </w:tcPr>
          <w:p>
            <w:pPr>
              <w:pStyle w:val="231"/>
              <w:ind w:firstLine="0" w:firstLineChars="0"/>
              <w:jc w:val="center"/>
              <w:rPr>
                <w:rFonts w:hAnsi="宋体"/>
                <w:sz w:val="18"/>
                <w:szCs w:val="18"/>
              </w:rPr>
            </w:pPr>
            <w:r>
              <w:rPr>
                <w:rFonts w:hint="eastAsia" w:hAnsi="宋体"/>
                <w:sz w:val="18"/>
                <w:szCs w:val="18"/>
              </w:rPr>
              <w:t>紧曲有锋苗</w:t>
            </w:r>
          </w:p>
        </w:tc>
        <w:tc>
          <w:tcPr>
            <w:tcW w:w="993" w:type="dxa"/>
            <w:shd w:val="clear" w:color="auto" w:fill="auto"/>
            <w:vAlign w:val="center"/>
          </w:tcPr>
          <w:p>
            <w:pPr>
              <w:pStyle w:val="231"/>
              <w:ind w:firstLine="0" w:firstLineChars="0"/>
              <w:jc w:val="center"/>
              <w:rPr>
                <w:rFonts w:hAnsi="宋体"/>
                <w:sz w:val="18"/>
                <w:szCs w:val="18"/>
              </w:rPr>
            </w:pPr>
            <w:r>
              <w:rPr>
                <w:rFonts w:hint="eastAsia" w:hAnsi="宋体"/>
                <w:sz w:val="18"/>
                <w:szCs w:val="18"/>
              </w:rPr>
              <w:t>较匀整</w:t>
            </w:r>
          </w:p>
        </w:tc>
        <w:tc>
          <w:tcPr>
            <w:tcW w:w="992" w:type="dxa"/>
            <w:shd w:val="clear" w:color="auto" w:fill="auto"/>
            <w:vAlign w:val="center"/>
          </w:tcPr>
          <w:p>
            <w:pPr>
              <w:pStyle w:val="231"/>
              <w:ind w:firstLine="0" w:firstLineChars="0"/>
              <w:jc w:val="center"/>
              <w:rPr>
                <w:rFonts w:hAnsi="宋体"/>
                <w:sz w:val="18"/>
                <w:szCs w:val="18"/>
              </w:rPr>
            </w:pPr>
            <w:r>
              <w:rPr>
                <w:rFonts w:hint="eastAsia" w:hAnsi="宋体"/>
                <w:sz w:val="18"/>
                <w:szCs w:val="18"/>
              </w:rPr>
              <w:t>净</w:t>
            </w:r>
          </w:p>
        </w:tc>
        <w:tc>
          <w:tcPr>
            <w:tcW w:w="850" w:type="dxa"/>
            <w:shd w:val="clear" w:color="auto" w:fill="auto"/>
            <w:vAlign w:val="center"/>
          </w:tcPr>
          <w:p>
            <w:pPr>
              <w:pStyle w:val="231"/>
              <w:ind w:firstLine="0" w:firstLineChars="0"/>
              <w:jc w:val="center"/>
              <w:rPr>
                <w:rFonts w:hAnsi="宋体"/>
                <w:sz w:val="18"/>
                <w:szCs w:val="18"/>
              </w:rPr>
            </w:pPr>
            <w:r>
              <w:rPr>
                <w:rFonts w:hint="eastAsia" w:hAnsi="宋体"/>
                <w:sz w:val="18"/>
                <w:szCs w:val="18"/>
              </w:rPr>
              <w:t>乌润、</w:t>
            </w:r>
          </w:p>
          <w:p>
            <w:pPr>
              <w:pStyle w:val="231"/>
              <w:ind w:firstLine="0" w:firstLineChars="0"/>
              <w:jc w:val="center"/>
              <w:rPr>
                <w:rFonts w:hAnsi="宋体"/>
                <w:sz w:val="18"/>
                <w:szCs w:val="18"/>
              </w:rPr>
            </w:pPr>
            <w:r>
              <w:rPr>
                <w:rFonts w:hint="eastAsia" w:hAnsi="宋体"/>
                <w:sz w:val="18"/>
                <w:szCs w:val="18"/>
              </w:rPr>
              <w:t>显毫</w:t>
            </w:r>
          </w:p>
        </w:tc>
        <w:tc>
          <w:tcPr>
            <w:tcW w:w="993" w:type="dxa"/>
            <w:shd w:val="clear" w:color="auto" w:fill="auto"/>
            <w:vAlign w:val="center"/>
          </w:tcPr>
          <w:p>
            <w:pPr>
              <w:pStyle w:val="231"/>
              <w:ind w:firstLine="0" w:firstLineChars="0"/>
              <w:jc w:val="left"/>
              <w:rPr>
                <w:rFonts w:hAnsi="宋体"/>
                <w:sz w:val="18"/>
                <w:szCs w:val="18"/>
              </w:rPr>
            </w:pPr>
            <w:r>
              <w:rPr>
                <w:rFonts w:hint="eastAsia" w:hAnsi="宋体"/>
                <w:sz w:val="18"/>
                <w:szCs w:val="18"/>
              </w:rPr>
              <w:t>甜香、稍显花果香</w:t>
            </w:r>
          </w:p>
        </w:tc>
        <w:tc>
          <w:tcPr>
            <w:tcW w:w="992" w:type="dxa"/>
            <w:shd w:val="clear" w:color="auto" w:fill="auto"/>
            <w:vAlign w:val="center"/>
          </w:tcPr>
          <w:p>
            <w:pPr>
              <w:pStyle w:val="231"/>
              <w:ind w:firstLine="0" w:firstLineChars="0"/>
              <w:jc w:val="center"/>
              <w:rPr>
                <w:rFonts w:hAnsi="宋体"/>
                <w:sz w:val="18"/>
                <w:szCs w:val="18"/>
              </w:rPr>
            </w:pPr>
            <w:r>
              <w:rPr>
                <w:rFonts w:hint="eastAsia" w:hAnsi="宋体"/>
                <w:sz w:val="18"/>
                <w:szCs w:val="18"/>
              </w:rPr>
              <w:t>醇厚</w:t>
            </w:r>
          </w:p>
        </w:tc>
        <w:tc>
          <w:tcPr>
            <w:tcW w:w="992" w:type="dxa"/>
            <w:shd w:val="clear" w:color="auto" w:fill="auto"/>
            <w:vAlign w:val="center"/>
          </w:tcPr>
          <w:p>
            <w:pPr>
              <w:pStyle w:val="231"/>
              <w:ind w:firstLine="0" w:firstLineChars="0"/>
              <w:jc w:val="center"/>
              <w:rPr>
                <w:rFonts w:hAnsi="宋体"/>
                <w:sz w:val="18"/>
                <w:szCs w:val="18"/>
              </w:rPr>
            </w:pPr>
            <w:r>
              <w:rPr>
                <w:rFonts w:hint="eastAsia" w:hAnsi="宋体"/>
                <w:sz w:val="18"/>
                <w:szCs w:val="18"/>
              </w:rPr>
              <w:t>红亮</w:t>
            </w:r>
          </w:p>
        </w:tc>
        <w:tc>
          <w:tcPr>
            <w:tcW w:w="992" w:type="dxa"/>
            <w:shd w:val="clear" w:color="auto" w:fill="auto"/>
            <w:vAlign w:val="center"/>
          </w:tcPr>
          <w:p>
            <w:pPr>
              <w:pStyle w:val="231"/>
              <w:ind w:firstLine="0" w:firstLineChars="0"/>
              <w:jc w:val="left"/>
              <w:rPr>
                <w:rFonts w:hAnsi="宋体"/>
                <w:sz w:val="18"/>
                <w:szCs w:val="18"/>
              </w:rPr>
            </w:pPr>
            <w:r>
              <w:rPr>
                <w:rFonts w:hint="eastAsia" w:hAnsi="宋体"/>
                <w:sz w:val="18"/>
                <w:szCs w:val="18"/>
              </w:rPr>
              <w:t>红亮、较完整</w:t>
            </w:r>
          </w:p>
        </w:tc>
        <w:tc>
          <w:tcPr>
            <w:tcW w:w="839"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pStyle w:val="231"/>
              <w:ind w:firstLine="0" w:firstLineChars="0"/>
              <w:jc w:val="center"/>
              <w:rPr>
                <w:rFonts w:hAnsi="宋体"/>
                <w:sz w:val="18"/>
                <w:szCs w:val="18"/>
              </w:rPr>
            </w:pPr>
            <w:r>
              <w:rPr>
                <w:rFonts w:hint="eastAsia" w:hAnsi="宋体"/>
                <w:sz w:val="18"/>
                <w:szCs w:val="18"/>
              </w:rPr>
              <w:t>壹级</w:t>
            </w:r>
          </w:p>
        </w:tc>
        <w:tc>
          <w:tcPr>
            <w:tcW w:w="1275" w:type="dxa"/>
            <w:shd w:val="clear" w:color="auto" w:fill="auto"/>
            <w:vAlign w:val="center"/>
          </w:tcPr>
          <w:p>
            <w:pPr>
              <w:pStyle w:val="231"/>
              <w:ind w:firstLine="0" w:firstLineChars="0"/>
              <w:jc w:val="center"/>
              <w:rPr>
                <w:rFonts w:hAnsi="宋体"/>
                <w:sz w:val="18"/>
                <w:szCs w:val="18"/>
              </w:rPr>
            </w:pPr>
            <w:r>
              <w:rPr>
                <w:rFonts w:hint="eastAsia" w:hAnsi="宋体"/>
                <w:sz w:val="18"/>
                <w:szCs w:val="18"/>
              </w:rPr>
              <w:t>紧实</w:t>
            </w:r>
          </w:p>
        </w:tc>
        <w:tc>
          <w:tcPr>
            <w:tcW w:w="993" w:type="dxa"/>
            <w:shd w:val="clear" w:color="auto" w:fill="auto"/>
            <w:vAlign w:val="center"/>
          </w:tcPr>
          <w:p>
            <w:pPr>
              <w:pStyle w:val="231"/>
              <w:ind w:firstLine="0" w:firstLineChars="0"/>
              <w:jc w:val="center"/>
              <w:rPr>
                <w:rFonts w:hAnsi="宋体"/>
                <w:sz w:val="18"/>
                <w:szCs w:val="18"/>
              </w:rPr>
            </w:pPr>
            <w:r>
              <w:rPr>
                <w:rFonts w:hint="eastAsia" w:hAnsi="宋体"/>
                <w:sz w:val="18"/>
                <w:szCs w:val="18"/>
              </w:rPr>
              <w:t>尚匀整</w:t>
            </w:r>
          </w:p>
        </w:tc>
        <w:tc>
          <w:tcPr>
            <w:tcW w:w="992" w:type="dxa"/>
            <w:shd w:val="clear" w:color="auto" w:fill="auto"/>
            <w:vAlign w:val="center"/>
          </w:tcPr>
          <w:p>
            <w:pPr>
              <w:pStyle w:val="231"/>
              <w:ind w:firstLine="0" w:firstLineChars="0"/>
              <w:jc w:val="center"/>
              <w:rPr>
                <w:rFonts w:hAnsi="宋体"/>
                <w:sz w:val="18"/>
                <w:szCs w:val="18"/>
              </w:rPr>
            </w:pPr>
            <w:r>
              <w:rPr>
                <w:rFonts w:hint="eastAsia" w:hAnsi="宋体"/>
                <w:sz w:val="18"/>
                <w:szCs w:val="18"/>
              </w:rPr>
              <w:t>净，</w:t>
            </w:r>
          </w:p>
          <w:p>
            <w:pPr>
              <w:pStyle w:val="231"/>
              <w:ind w:firstLine="0" w:firstLineChars="0"/>
              <w:jc w:val="center"/>
              <w:rPr>
                <w:rFonts w:hAnsi="宋体"/>
                <w:sz w:val="18"/>
                <w:szCs w:val="18"/>
              </w:rPr>
            </w:pPr>
            <w:r>
              <w:rPr>
                <w:rFonts w:hint="eastAsia" w:hAnsi="宋体"/>
                <w:sz w:val="18"/>
                <w:szCs w:val="18"/>
              </w:rPr>
              <w:t>稍有嫩茎</w:t>
            </w:r>
          </w:p>
        </w:tc>
        <w:tc>
          <w:tcPr>
            <w:tcW w:w="850" w:type="dxa"/>
            <w:shd w:val="clear" w:color="auto" w:fill="auto"/>
            <w:vAlign w:val="center"/>
          </w:tcPr>
          <w:p>
            <w:pPr>
              <w:pStyle w:val="231"/>
              <w:ind w:firstLine="0" w:firstLineChars="0"/>
              <w:jc w:val="center"/>
              <w:rPr>
                <w:rFonts w:hAnsi="宋体"/>
                <w:sz w:val="18"/>
                <w:szCs w:val="18"/>
              </w:rPr>
            </w:pPr>
            <w:r>
              <w:rPr>
                <w:rFonts w:hint="eastAsia" w:hAnsi="宋体"/>
                <w:sz w:val="18"/>
                <w:szCs w:val="18"/>
              </w:rPr>
              <w:t>尚乌润</w:t>
            </w:r>
          </w:p>
        </w:tc>
        <w:tc>
          <w:tcPr>
            <w:tcW w:w="993" w:type="dxa"/>
            <w:shd w:val="clear" w:color="auto" w:fill="auto"/>
            <w:vAlign w:val="center"/>
          </w:tcPr>
          <w:p>
            <w:pPr>
              <w:pStyle w:val="231"/>
              <w:ind w:firstLine="0" w:firstLineChars="0"/>
              <w:jc w:val="center"/>
              <w:rPr>
                <w:rFonts w:hAnsi="宋体"/>
                <w:sz w:val="18"/>
                <w:szCs w:val="18"/>
              </w:rPr>
            </w:pPr>
            <w:r>
              <w:rPr>
                <w:rFonts w:hint="eastAsia" w:hAnsi="宋体"/>
                <w:sz w:val="18"/>
                <w:szCs w:val="18"/>
              </w:rPr>
              <w:t>甜香纯正</w:t>
            </w:r>
          </w:p>
        </w:tc>
        <w:tc>
          <w:tcPr>
            <w:tcW w:w="992" w:type="dxa"/>
            <w:shd w:val="clear" w:color="auto" w:fill="auto"/>
            <w:vAlign w:val="center"/>
          </w:tcPr>
          <w:p>
            <w:pPr>
              <w:pStyle w:val="231"/>
              <w:ind w:firstLine="0" w:firstLineChars="0"/>
              <w:jc w:val="center"/>
              <w:rPr>
                <w:rFonts w:hAnsi="宋体"/>
                <w:sz w:val="18"/>
                <w:szCs w:val="18"/>
              </w:rPr>
            </w:pPr>
            <w:r>
              <w:rPr>
                <w:rFonts w:hint="eastAsia" w:hAnsi="宋体"/>
                <w:sz w:val="18"/>
                <w:szCs w:val="18"/>
              </w:rPr>
              <w:t>浓厚</w:t>
            </w:r>
          </w:p>
        </w:tc>
        <w:tc>
          <w:tcPr>
            <w:tcW w:w="992" w:type="dxa"/>
            <w:shd w:val="clear" w:color="auto" w:fill="auto"/>
            <w:vAlign w:val="center"/>
          </w:tcPr>
          <w:p>
            <w:pPr>
              <w:pStyle w:val="231"/>
              <w:ind w:firstLine="0" w:firstLineChars="0"/>
              <w:jc w:val="center"/>
              <w:rPr>
                <w:rFonts w:hAnsi="宋体"/>
                <w:sz w:val="18"/>
                <w:szCs w:val="18"/>
              </w:rPr>
            </w:pPr>
            <w:r>
              <w:rPr>
                <w:rFonts w:hint="eastAsia" w:hAnsi="宋体"/>
                <w:sz w:val="18"/>
                <w:szCs w:val="18"/>
              </w:rPr>
              <w:t>尚红亮</w:t>
            </w:r>
          </w:p>
        </w:tc>
        <w:tc>
          <w:tcPr>
            <w:tcW w:w="992" w:type="dxa"/>
            <w:shd w:val="clear" w:color="auto" w:fill="auto"/>
            <w:vAlign w:val="center"/>
          </w:tcPr>
          <w:p>
            <w:pPr>
              <w:pStyle w:val="231"/>
              <w:ind w:firstLine="0" w:firstLineChars="0"/>
              <w:jc w:val="center"/>
              <w:rPr>
                <w:rFonts w:hAnsi="宋体"/>
                <w:sz w:val="18"/>
                <w:szCs w:val="18"/>
              </w:rPr>
            </w:pPr>
            <w:r>
              <w:rPr>
                <w:rFonts w:hint="eastAsia" w:hAnsi="宋体"/>
                <w:sz w:val="18"/>
                <w:szCs w:val="18"/>
              </w:rPr>
              <w:t>尚红亮</w:t>
            </w:r>
          </w:p>
        </w:tc>
        <w:tc>
          <w:tcPr>
            <w:tcW w:w="839" w:type="dxa"/>
            <w:vMerge w:val="continue"/>
            <w:shd w:val="clear" w:color="auto" w:fill="auto"/>
            <w:vAlign w:val="center"/>
          </w:tcPr>
          <w:p>
            <w:pPr>
              <w:pStyle w:val="178"/>
            </w:pPr>
          </w:p>
        </w:tc>
      </w:tr>
    </w:tbl>
    <w:p>
      <w:pPr>
        <w:pStyle w:val="56"/>
        <w:ind w:firstLine="420"/>
      </w:pPr>
    </w:p>
    <w:p>
      <w:pPr>
        <w:pStyle w:val="105"/>
        <w:spacing w:before="156" w:after="156"/>
      </w:pPr>
      <w:bookmarkStart w:id="76" w:name="_Toc8534"/>
      <w:bookmarkStart w:id="77" w:name="_Toc86396465"/>
      <w:r>
        <w:rPr>
          <w:rFonts w:hint="eastAsia"/>
        </w:rPr>
        <w:t>理化指标</w:t>
      </w:r>
      <w:bookmarkEnd w:id="76"/>
      <w:bookmarkEnd w:id="77"/>
    </w:p>
    <w:p>
      <w:pPr>
        <w:pStyle w:val="56"/>
        <w:ind w:firstLine="420"/>
      </w:pPr>
      <w:r>
        <w:rPr>
          <w:rFonts w:hint="eastAsia"/>
        </w:rPr>
        <w:t>应符合表2的规定。</w:t>
      </w:r>
    </w:p>
    <w:p>
      <w:pPr>
        <w:pStyle w:val="56"/>
        <w:ind w:firstLine="420"/>
      </w:pPr>
    </w:p>
    <w:p>
      <w:pPr>
        <w:pStyle w:val="56"/>
        <w:ind w:firstLine="420"/>
      </w:pPr>
    </w:p>
    <w:p>
      <w:pPr>
        <w:pStyle w:val="56"/>
        <w:ind w:firstLine="420"/>
      </w:pPr>
    </w:p>
    <w:p>
      <w:pPr>
        <w:pStyle w:val="112"/>
        <w:spacing w:before="156" w:after="156"/>
      </w:pPr>
      <w:r>
        <w:rPr>
          <w:rFonts w:hint="eastAsia"/>
        </w:rPr>
        <w:t>理化指标</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534"/>
        <w:gridCol w:w="2977"/>
        <w:gridCol w:w="28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3534" w:type="dxa"/>
            <w:tcBorders>
              <w:top w:val="single" w:color="auto" w:sz="8" w:space="0"/>
              <w:bottom w:val="single" w:color="auto" w:sz="8" w:space="0"/>
            </w:tcBorders>
            <w:shd w:val="clear" w:color="auto" w:fill="auto"/>
            <w:vAlign w:val="center"/>
          </w:tcPr>
          <w:p>
            <w:pPr>
              <w:pStyle w:val="178"/>
            </w:pPr>
            <w:r>
              <w:rPr>
                <w:rFonts w:hint="eastAsia"/>
              </w:rPr>
              <w:t>项目</w:t>
            </w:r>
          </w:p>
        </w:tc>
        <w:tc>
          <w:tcPr>
            <w:tcW w:w="2977" w:type="dxa"/>
            <w:tcBorders>
              <w:top w:val="single" w:color="auto" w:sz="8" w:space="0"/>
              <w:bottom w:val="single" w:color="auto" w:sz="8" w:space="0"/>
            </w:tcBorders>
            <w:shd w:val="clear" w:color="auto" w:fill="auto"/>
            <w:vAlign w:val="center"/>
          </w:tcPr>
          <w:p>
            <w:pPr>
              <w:pStyle w:val="178"/>
            </w:pPr>
            <w:r>
              <w:rPr>
                <w:rFonts w:hint="eastAsia"/>
              </w:rPr>
              <w:t>指标</w:t>
            </w:r>
          </w:p>
        </w:tc>
        <w:tc>
          <w:tcPr>
            <w:tcW w:w="2823" w:type="dxa"/>
            <w:tcBorders>
              <w:top w:val="single" w:color="auto" w:sz="8" w:space="0"/>
              <w:bottom w:val="single" w:color="auto" w:sz="8" w:space="0"/>
            </w:tcBorders>
            <w:shd w:val="clear" w:color="auto" w:fill="auto"/>
            <w:vAlign w:val="center"/>
          </w:tcPr>
          <w:p>
            <w:pPr>
              <w:pStyle w:val="178"/>
            </w:pPr>
            <w:r>
              <w:rPr>
                <w:rFonts w:hint="eastAsia"/>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534" w:type="dxa"/>
            <w:tcBorders>
              <w:top w:val="single" w:color="auto" w:sz="8" w:space="0"/>
            </w:tcBorders>
            <w:shd w:val="clear" w:color="auto" w:fill="auto"/>
          </w:tcPr>
          <w:p>
            <w:pPr>
              <w:jc w:val="distribute"/>
              <w:rPr>
                <w:rFonts w:ascii="宋体" w:hAnsi="宋体"/>
                <w:sz w:val="18"/>
              </w:rPr>
            </w:pPr>
            <w:r>
              <w:rPr>
                <w:rFonts w:hint="eastAsia" w:ascii="宋体" w:hAnsi="宋体"/>
                <w:sz w:val="18"/>
              </w:rPr>
              <w:t>水分(质量分数)/%                   ≤</w:t>
            </w:r>
          </w:p>
        </w:tc>
        <w:tc>
          <w:tcPr>
            <w:tcW w:w="2977" w:type="dxa"/>
            <w:tcBorders>
              <w:top w:val="single" w:color="auto" w:sz="8" w:space="0"/>
            </w:tcBorders>
            <w:shd w:val="clear" w:color="auto" w:fill="auto"/>
          </w:tcPr>
          <w:p>
            <w:pPr>
              <w:jc w:val="center"/>
              <w:rPr>
                <w:rFonts w:ascii="宋体" w:hAnsi="宋体"/>
                <w:sz w:val="18"/>
              </w:rPr>
            </w:pPr>
            <w:r>
              <w:rPr>
                <w:rFonts w:hint="eastAsia" w:ascii="宋体" w:hAnsi="宋体"/>
                <w:sz w:val="18"/>
              </w:rPr>
              <w:t>7.0</w:t>
            </w:r>
          </w:p>
        </w:tc>
        <w:tc>
          <w:tcPr>
            <w:tcW w:w="2823" w:type="dxa"/>
            <w:tcBorders>
              <w:top w:val="single" w:color="auto" w:sz="8" w:space="0"/>
            </w:tcBorders>
            <w:shd w:val="clear" w:color="auto" w:fill="auto"/>
            <w:vAlign w:val="center"/>
          </w:tcPr>
          <w:p>
            <w:pPr>
              <w:pStyle w:val="178"/>
            </w:pPr>
            <w:r>
              <w:rPr>
                <w:rFonts w:hint="eastAsia"/>
              </w:rPr>
              <w:t>G</w:t>
            </w:r>
            <w:r>
              <w:t>B 5009.3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534" w:type="dxa"/>
            <w:shd w:val="clear" w:color="auto" w:fill="auto"/>
          </w:tcPr>
          <w:p>
            <w:pPr>
              <w:jc w:val="distribute"/>
              <w:rPr>
                <w:rFonts w:ascii="宋体" w:hAnsi="宋体"/>
                <w:sz w:val="18"/>
              </w:rPr>
            </w:pPr>
            <w:r>
              <w:rPr>
                <w:rFonts w:hint="eastAsia" w:ascii="宋体" w:hAnsi="宋体"/>
                <w:sz w:val="18"/>
              </w:rPr>
              <w:t>总灰分(质量分数)/%　                 ≤</w:t>
            </w:r>
          </w:p>
        </w:tc>
        <w:tc>
          <w:tcPr>
            <w:tcW w:w="2977" w:type="dxa"/>
            <w:shd w:val="clear" w:color="auto" w:fill="auto"/>
          </w:tcPr>
          <w:p>
            <w:pPr>
              <w:jc w:val="center"/>
              <w:rPr>
                <w:rFonts w:ascii="宋体" w:hAnsi="宋体"/>
                <w:sz w:val="18"/>
              </w:rPr>
            </w:pPr>
            <w:r>
              <w:rPr>
                <w:rFonts w:hint="eastAsia" w:ascii="宋体" w:hAnsi="宋体"/>
                <w:sz w:val="18"/>
              </w:rPr>
              <w:t>6.5</w:t>
            </w:r>
          </w:p>
        </w:tc>
        <w:tc>
          <w:tcPr>
            <w:tcW w:w="2823" w:type="dxa"/>
            <w:shd w:val="clear" w:color="auto" w:fill="auto"/>
            <w:vAlign w:val="center"/>
          </w:tcPr>
          <w:p>
            <w:pPr>
              <w:pStyle w:val="178"/>
            </w:pPr>
            <w:r>
              <w:rPr>
                <w:rFonts w:hint="eastAsia"/>
              </w:rPr>
              <w:t>G</w:t>
            </w:r>
            <w:r>
              <w:t>B 5009.4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534" w:type="dxa"/>
            <w:shd w:val="clear" w:color="auto" w:fill="auto"/>
          </w:tcPr>
          <w:p>
            <w:pPr>
              <w:jc w:val="distribute"/>
              <w:rPr>
                <w:rFonts w:ascii="宋体" w:hAnsi="宋体"/>
                <w:sz w:val="18"/>
              </w:rPr>
            </w:pPr>
            <w:r>
              <w:rPr>
                <w:rFonts w:hint="eastAsia" w:ascii="宋体" w:hAnsi="宋体"/>
                <w:sz w:val="18"/>
              </w:rPr>
              <w:t>粉末(质量分数)/%　                 ≤</w:t>
            </w:r>
          </w:p>
        </w:tc>
        <w:tc>
          <w:tcPr>
            <w:tcW w:w="2977" w:type="dxa"/>
            <w:shd w:val="clear" w:color="auto" w:fill="auto"/>
          </w:tcPr>
          <w:p>
            <w:pPr>
              <w:jc w:val="center"/>
              <w:rPr>
                <w:rFonts w:ascii="宋体" w:hAnsi="宋体"/>
                <w:sz w:val="18"/>
              </w:rPr>
            </w:pPr>
            <w:r>
              <w:rPr>
                <w:rFonts w:hint="eastAsia" w:ascii="宋体" w:hAnsi="宋体"/>
                <w:sz w:val="18"/>
              </w:rPr>
              <w:t>1.0</w:t>
            </w:r>
          </w:p>
        </w:tc>
        <w:tc>
          <w:tcPr>
            <w:tcW w:w="2823" w:type="dxa"/>
            <w:shd w:val="clear" w:color="auto" w:fill="auto"/>
            <w:vAlign w:val="center"/>
          </w:tcPr>
          <w:p>
            <w:pPr>
              <w:pStyle w:val="178"/>
            </w:pPr>
            <w:r>
              <w:rPr>
                <w:rFonts w:hint="eastAsia"/>
              </w:rPr>
              <w:t>G</w:t>
            </w:r>
            <w:r>
              <w:t>B/T 8311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534" w:type="dxa"/>
            <w:shd w:val="clear" w:color="auto" w:fill="auto"/>
          </w:tcPr>
          <w:p>
            <w:pPr>
              <w:jc w:val="distribute"/>
              <w:rPr>
                <w:rFonts w:ascii="宋体" w:hAnsi="宋体"/>
                <w:sz w:val="18"/>
              </w:rPr>
            </w:pPr>
            <w:r>
              <w:rPr>
                <w:rFonts w:hint="eastAsia" w:ascii="宋体" w:hAnsi="宋体"/>
                <w:sz w:val="18"/>
              </w:rPr>
              <w:t>水浸出物(质量分数)/%               ≥</w:t>
            </w:r>
          </w:p>
        </w:tc>
        <w:tc>
          <w:tcPr>
            <w:tcW w:w="2977" w:type="dxa"/>
            <w:shd w:val="clear" w:color="auto" w:fill="auto"/>
          </w:tcPr>
          <w:p>
            <w:pPr>
              <w:jc w:val="center"/>
              <w:rPr>
                <w:rFonts w:ascii="宋体" w:hAnsi="宋体"/>
                <w:sz w:val="18"/>
              </w:rPr>
            </w:pPr>
            <w:r>
              <w:rPr>
                <w:rFonts w:hint="eastAsia" w:ascii="宋体" w:hAnsi="宋体"/>
                <w:sz w:val="18"/>
              </w:rPr>
              <w:t>34</w:t>
            </w:r>
          </w:p>
        </w:tc>
        <w:tc>
          <w:tcPr>
            <w:tcW w:w="2823" w:type="dxa"/>
            <w:shd w:val="clear" w:color="auto" w:fill="auto"/>
            <w:vAlign w:val="center"/>
          </w:tcPr>
          <w:p>
            <w:pPr>
              <w:pStyle w:val="178"/>
            </w:pPr>
            <w:r>
              <w:rPr>
                <w:rFonts w:hint="eastAsia"/>
              </w:rPr>
              <w:t>G</w:t>
            </w:r>
            <w:r>
              <w:t>B/T 8305</w:t>
            </w:r>
          </w:p>
        </w:tc>
      </w:tr>
    </w:tbl>
    <w:p>
      <w:pPr>
        <w:pStyle w:val="105"/>
        <w:spacing w:before="156" w:after="156"/>
        <w:rPr>
          <w:szCs w:val="21"/>
        </w:rPr>
      </w:pPr>
      <w:bookmarkStart w:id="78" w:name="_Toc86396466"/>
      <w:r>
        <w:rPr>
          <w:rFonts w:hint="eastAsia"/>
        </w:rPr>
        <w:t>质量安全指标</w:t>
      </w:r>
      <w:bookmarkEnd w:id="78"/>
    </w:p>
    <w:p>
      <w:pPr>
        <w:pStyle w:val="165"/>
      </w:pPr>
      <w:r>
        <w:rPr>
          <w:rFonts w:hint="eastAsia"/>
        </w:rPr>
        <w:t>污染物限量应符合GB 2762的规定。</w:t>
      </w:r>
    </w:p>
    <w:p>
      <w:pPr>
        <w:pStyle w:val="165"/>
      </w:pPr>
      <w:r>
        <w:rPr>
          <w:rFonts w:hint="eastAsia"/>
        </w:rPr>
        <w:t>农药最大残留限量应符合GB 2763的规定。</w:t>
      </w:r>
    </w:p>
    <w:p>
      <w:pPr>
        <w:pStyle w:val="105"/>
        <w:spacing w:before="156" w:after="156"/>
      </w:pPr>
      <w:bookmarkStart w:id="79" w:name="_Toc86396467"/>
      <w:r>
        <w:rPr>
          <w:rFonts w:hint="eastAsia"/>
        </w:rPr>
        <w:t>净含量</w:t>
      </w:r>
      <w:bookmarkEnd w:id="79"/>
    </w:p>
    <w:p>
      <w:pPr>
        <w:pStyle w:val="56"/>
        <w:ind w:firstLine="420"/>
      </w:pPr>
      <w:r>
        <w:rPr>
          <w:rFonts w:hint="eastAsia"/>
          <w:szCs w:val="22"/>
        </w:rPr>
        <w:t>应符合《</w:t>
      </w:r>
      <w:r>
        <w:rPr>
          <w:rFonts w:hint="eastAsia"/>
        </w:rPr>
        <w:t>定量包装商品计量监督管理办法》的规定，并按JJF 1070的规定执行。</w:t>
      </w:r>
    </w:p>
    <w:p>
      <w:pPr>
        <w:pStyle w:val="104"/>
        <w:spacing w:before="312" w:after="312"/>
      </w:pPr>
      <w:bookmarkStart w:id="80" w:name="_Toc86397024"/>
      <w:bookmarkStart w:id="81" w:name="_Toc31808825"/>
      <w:bookmarkStart w:id="82" w:name="_Toc18090228"/>
      <w:bookmarkStart w:id="83" w:name="_Toc86396468"/>
      <w:bookmarkStart w:id="84" w:name="_Toc2714209"/>
      <w:bookmarkStart w:id="85" w:name="_Toc21069"/>
      <w:bookmarkStart w:id="86" w:name="_Toc490555016"/>
      <w:bookmarkStart w:id="87" w:name="_Toc78144908"/>
      <w:bookmarkStart w:id="88" w:name="_Toc78289562"/>
      <w:bookmarkStart w:id="89" w:name="_Toc488503025"/>
      <w:bookmarkStart w:id="90" w:name="_Toc78151657"/>
      <w:bookmarkStart w:id="91" w:name="_Toc702415"/>
      <w:bookmarkStart w:id="92" w:name="_Toc488502949"/>
      <w:bookmarkStart w:id="93" w:name="_Toc488503007"/>
      <w:r>
        <w:rPr>
          <w:rFonts w:hint="eastAsia"/>
        </w:rPr>
        <w:t>检验规则</w:t>
      </w:r>
      <w:bookmarkEnd w:id="80"/>
      <w:bookmarkEnd w:id="81"/>
      <w:bookmarkEnd w:id="82"/>
      <w:bookmarkEnd w:id="83"/>
    </w:p>
    <w:p>
      <w:pPr>
        <w:pStyle w:val="105"/>
        <w:spacing w:before="156" w:after="156"/>
      </w:pPr>
      <w:bookmarkStart w:id="94" w:name="_Toc86396469"/>
      <w:r>
        <w:rPr>
          <w:rFonts w:hint="eastAsia"/>
        </w:rPr>
        <w:t>组批</w:t>
      </w:r>
      <w:bookmarkEnd w:id="94"/>
    </w:p>
    <w:p>
      <w:pPr>
        <w:pStyle w:val="56"/>
        <w:ind w:firstLine="420"/>
      </w:pPr>
      <w:r>
        <w:rPr>
          <w:rFonts w:hint="eastAsia"/>
        </w:rPr>
        <w:t>产品均应以批为单位。在投料生产和加工过程中形成的独立数量的产品为一个批次，同批产品的品质和规格应一致。</w:t>
      </w:r>
    </w:p>
    <w:p>
      <w:pPr>
        <w:pStyle w:val="105"/>
        <w:spacing w:before="156" w:after="156"/>
      </w:pPr>
      <w:bookmarkStart w:id="95" w:name="_Toc86396470"/>
      <w:r>
        <w:rPr>
          <w:rFonts w:hint="eastAsia"/>
        </w:rPr>
        <w:t>取样</w:t>
      </w:r>
      <w:bookmarkEnd w:id="95"/>
    </w:p>
    <w:p>
      <w:pPr>
        <w:pStyle w:val="56"/>
        <w:ind w:firstLine="420"/>
      </w:pPr>
      <w:r>
        <w:rPr>
          <w:rFonts w:hint="eastAsia"/>
        </w:rPr>
        <w:t>按GB/T 8302的规定执行。</w:t>
      </w:r>
    </w:p>
    <w:p>
      <w:pPr>
        <w:pStyle w:val="105"/>
        <w:spacing w:before="156" w:after="156"/>
      </w:pPr>
      <w:bookmarkStart w:id="96" w:name="_Toc488502953"/>
      <w:bookmarkStart w:id="97" w:name="_Toc15165"/>
      <w:bookmarkStart w:id="98" w:name="_Toc86396471"/>
      <w:bookmarkStart w:id="99" w:name="_Toc488503009"/>
      <w:r>
        <w:rPr>
          <w:rFonts w:hint="eastAsia"/>
        </w:rPr>
        <w:t>检验</w:t>
      </w:r>
      <w:bookmarkEnd w:id="96"/>
      <w:bookmarkEnd w:id="97"/>
      <w:bookmarkEnd w:id="98"/>
      <w:bookmarkEnd w:id="99"/>
    </w:p>
    <w:p>
      <w:pPr>
        <w:pStyle w:val="65"/>
        <w:spacing w:before="156" w:after="156"/>
      </w:pPr>
      <w:r>
        <w:rPr>
          <w:rFonts w:hint="eastAsia"/>
        </w:rPr>
        <w:t>出厂检验</w:t>
      </w:r>
    </w:p>
    <w:p>
      <w:pPr>
        <w:pStyle w:val="56"/>
        <w:ind w:firstLine="420"/>
      </w:pPr>
      <w:r>
        <w:rPr>
          <w:rFonts w:hint="eastAsia"/>
        </w:rPr>
        <w:t>每批产品均应做出厂检验，经检验合格签发合格证后，方可出厂。出厂检验项目为感官品质、水分、粉末、净含量和包装标签。</w:t>
      </w:r>
    </w:p>
    <w:p>
      <w:pPr>
        <w:pStyle w:val="65"/>
        <w:spacing w:before="156" w:after="156"/>
      </w:pPr>
      <w:r>
        <w:rPr>
          <w:rFonts w:hint="eastAsia"/>
        </w:rPr>
        <w:t>型式检验</w:t>
      </w:r>
    </w:p>
    <w:p>
      <w:pPr>
        <w:pStyle w:val="56"/>
        <w:ind w:firstLine="420"/>
      </w:pPr>
      <w:r>
        <w:rPr>
          <w:rFonts w:hint="eastAsia"/>
        </w:rPr>
        <w:t>型式检验项目为第5章要求中的全部项目，检验周期每年一次。有下列情况之一时，应进行型式检验：</w:t>
      </w:r>
    </w:p>
    <w:p>
      <w:pPr>
        <w:pStyle w:val="174"/>
      </w:pPr>
      <w:r>
        <w:rPr>
          <w:rFonts w:hint="eastAsia"/>
        </w:rPr>
        <w:t>如原料、生产地址、生产设备或生产工艺有较大改变，可能影响产品质量时；</w:t>
      </w:r>
    </w:p>
    <w:p>
      <w:pPr>
        <w:pStyle w:val="174"/>
      </w:pPr>
      <w:r>
        <w:rPr>
          <w:rFonts w:hint="eastAsia"/>
        </w:rPr>
        <w:t>产品长期停产后复生产时；</w:t>
      </w:r>
    </w:p>
    <w:p>
      <w:pPr>
        <w:pStyle w:val="174"/>
      </w:pPr>
      <w:r>
        <w:rPr>
          <w:rFonts w:hint="eastAsia"/>
        </w:rPr>
        <w:t>出厂检验结果与型式检验有较大差异时；</w:t>
      </w:r>
    </w:p>
    <w:p>
      <w:pPr>
        <w:pStyle w:val="174"/>
      </w:pPr>
      <w:r>
        <w:rPr>
          <w:rFonts w:hint="eastAsia"/>
        </w:rPr>
        <w:t>国家质量监督部门提出型式检验要求时；</w:t>
      </w:r>
    </w:p>
    <w:p>
      <w:pPr>
        <w:pStyle w:val="174"/>
      </w:pPr>
      <w:r>
        <w:rPr>
          <w:rFonts w:hint="eastAsia"/>
        </w:rPr>
        <w:t>合同规定时。</w:t>
      </w:r>
    </w:p>
    <w:p>
      <w:pPr>
        <w:pStyle w:val="105"/>
        <w:spacing w:before="156" w:after="156"/>
      </w:pPr>
      <w:bookmarkStart w:id="100" w:name="_Toc86396472"/>
      <w:r>
        <w:rPr>
          <w:rFonts w:hint="eastAsia"/>
        </w:rPr>
        <w:t>判定规则</w:t>
      </w:r>
      <w:bookmarkEnd w:id="100"/>
    </w:p>
    <w:p>
      <w:pPr>
        <w:pStyle w:val="165"/>
      </w:pPr>
      <w:r>
        <w:rPr>
          <w:rFonts w:hint="eastAsia"/>
        </w:rPr>
        <w:t>检验结果全部符合本文件规定的技术要求的产品，则判该批次产品为合格品。</w:t>
      </w:r>
    </w:p>
    <w:p>
      <w:pPr>
        <w:pStyle w:val="165"/>
      </w:pPr>
      <w:r>
        <w:rPr>
          <w:rFonts w:hint="eastAsia"/>
        </w:rPr>
        <w:t>凡基本要求和质量安全指标有一项不符合要求的产品，判为不合格产品。</w:t>
      </w:r>
    </w:p>
    <w:p>
      <w:pPr>
        <w:pStyle w:val="165"/>
      </w:pPr>
      <w:r>
        <w:rPr>
          <w:rFonts w:hint="eastAsia"/>
        </w:rPr>
        <w:t>感官品质不符合规定级别要求的产品应降级处理；理化指标不符合规定要求的判该批次产品为等外品。</w:t>
      </w:r>
    </w:p>
    <w:p>
      <w:pPr>
        <w:pStyle w:val="105"/>
        <w:spacing w:before="156" w:after="156"/>
      </w:pPr>
      <w:bookmarkStart w:id="101" w:name="_Toc488502960"/>
      <w:bookmarkStart w:id="102" w:name="_Toc86396473"/>
      <w:bookmarkStart w:id="103" w:name="_Toc488503011"/>
      <w:bookmarkStart w:id="104" w:name="_Toc25167"/>
      <w:r>
        <w:rPr>
          <w:rFonts w:hint="eastAsia"/>
        </w:rPr>
        <w:t>复验</w:t>
      </w:r>
      <w:bookmarkEnd w:id="101"/>
      <w:bookmarkEnd w:id="102"/>
      <w:bookmarkEnd w:id="103"/>
      <w:bookmarkEnd w:id="104"/>
    </w:p>
    <w:p>
      <w:pPr>
        <w:pStyle w:val="56"/>
        <w:ind w:firstLine="420"/>
      </w:pPr>
      <w:r>
        <w:rPr>
          <w:rFonts w:hint="eastAsia"/>
        </w:rPr>
        <w:t>对检验结果有争议时，应对留存样或重新在同批产品中按GB/T 8302规定加倍取样复验，以复验结果为准。</w:t>
      </w:r>
    </w:p>
    <w:bookmarkEnd w:id="84"/>
    <w:bookmarkEnd w:id="85"/>
    <w:bookmarkEnd w:id="86"/>
    <w:bookmarkEnd w:id="87"/>
    <w:bookmarkEnd w:id="88"/>
    <w:bookmarkEnd w:id="89"/>
    <w:bookmarkEnd w:id="90"/>
    <w:bookmarkEnd w:id="91"/>
    <w:bookmarkEnd w:id="92"/>
    <w:bookmarkEnd w:id="93"/>
    <w:p>
      <w:pPr>
        <w:pStyle w:val="104"/>
        <w:spacing w:before="312" w:after="312"/>
      </w:pPr>
      <w:bookmarkStart w:id="105" w:name="_Toc18088147"/>
      <w:bookmarkStart w:id="106" w:name="_Toc20820"/>
      <w:bookmarkStart w:id="107" w:name="_Toc31827347"/>
      <w:bookmarkStart w:id="108" w:name="_Toc7807"/>
      <w:bookmarkStart w:id="109" w:name="_Toc1114791"/>
      <w:bookmarkStart w:id="110" w:name="_Toc702244"/>
      <w:bookmarkStart w:id="111" w:name="_Toc31827101"/>
      <w:bookmarkStart w:id="112" w:name="_Toc1115178"/>
      <w:bookmarkStart w:id="113" w:name="_Toc18088187"/>
      <w:bookmarkStart w:id="114" w:name="_Toc86397025"/>
      <w:bookmarkStart w:id="115" w:name="_Toc86396474"/>
      <w:bookmarkStart w:id="116" w:name="_Toc31827105"/>
      <w:bookmarkStart w:id="117" w:name="_Toc14070"/>
      <w:bookmarkStart w:id="118" w:name="_Toc9951"/>
      <w:bookmarkStart w:id="119" w:name="_Toc18088191"/>
      <w:bookmarkStart w:id="120" w:name="_Toc31827351"/>
      <w:r>
        <w:rPr>
          <w:rFonts w:hint="eastAsia"/>
        </w:rPr>
        <w:t>标志标签、包装、运输</w:t>
      </w:r>
      <w:bookmarkEnd w:id="105"/>
      <w:bookmarkEnd w:id="106"/>
      <w:bookmarkEnd w:id="107"/>
      <w:bookmarkEnd w:id="108"/>
      <w:bookmarkEnd w:id="109"/>
      <w:bookmarkEnd w:id="110"/>
      <w:bookmarkEnd w:id="111"/>
      <w:bookmarkEnd w:id="112"/>
      <w:bookmarkEnd w:id="113"/>
      <w:r>
        <w:rPr>
          <w:rFonts w:hint="eastAsia"/>
        </w:rPr>
        <w:t>和贮存</w:t>
      </w:r>
      <w:bookmarkEnd w:id="114"/>
      <w:bookmarkEnd w:id="115"/>
    </w:p>
    <w:p>
      <w:pPr>
        <w:pStyle w:val="105"/>
        <w:spacing w:before="156" w:after="156"/>
      </w:pPr>
      <w:bookmarkStart w:id="121" w:name="_Toc418"/>
      <w:bookmarkStart w:id="122" w:name="_Toc31827348"/>
      <w:bookmarkStart w:id="123" w:name="_Toc86396475"/>
      <w:bookmarkStart w:id="124" w:name="_Toc18088188"/>
      <w:bookmarkStart w:id="125" w:name="_Toc31827102"/>
      <w:bookmarkStart w:id="126" w:name="_Toc10064"/>
      <w:r>
        <w:rPr>
          <w:rFonts w:hint="eastAsia"/>
        </w:rPr>
        <w:t>标志标签</w:t>
      </w:r>
      <w:bookmarkEnd w:id="121"/>
      <w:bookmarkEnd w:id="122"/>
      <w:bookmarkEnd w:id="123"/>
      <w:bookmarkEnd w:id="124"/>
      <w:bookmarkEnd w:id="125"/>
      <w:bookmarkEnd w:id="126"/>
    </w:p>
    <w:p>
      <w:pPr>
        <w:pStyle w:val="56"/>
        <w:ind w:firstLine="420"/>
      </w:pPr>
      <w:r>
        <w:rPr>
          <w:rFonts w:hint="eastAsia"/>
        </w:rPr>
        <w:t>标签应包含产地、加工日期、等级、数量等内容。产品标签符合GB 7718和《国家质量监督检验检疫总局关于修改&lt;食品标识管理规定&gt;的决定》的相关规定。运输包装箱的图示标志符合GB/T</w:t>
      </w:r>
      <w:r>
        <w:t xml:space="preserve"> </w:t>
      </w:r>
      <w:r>
        <w:rPr>
          <w:rFonts w:hint="eastAsia"/>
        </w:rPr>
        <w:t>191的规定。</w:t>
      </w:r>
    </w:p>
    <w:p>
      <w:pPr>
        <w:pStyle w:val="105"/>
        <w:spacing w:before="156" w:after="156"/>
      </w:pPr>
      <w:bookmarkStart w:id="127" w:name="_Toc18088189"/>
      <w:bookmarkStart w:id="128" w:name="_Toc86396476"/>
      <w:bookmarkStart w:id="129" w:name="_Toc23838"/>
      <w:bookmarkStart w:id="130" w:name="_Toc24002"/>
      <w:bookmarkStart w:id="131" w:name="_Toc31827349"/>
      <w:bookmarkStart w:id="132" w:name="_Toc31827103"/>
      <w:r>
        <w:rPr>
          <w:rFonts w:hint="eastAsia"/>
        </w:rPr>
        <w:t>包装</w:t>
      </w:r>
      <w:bookmarkEnd w:id="127"/>
      <w:bookmarkEnd w:id="128"/>
      <w:bookmarkEnd w:id="129"/>
      <w:bookmarkEnd w:id="130"/>
      <w:bookmarkEnd w:id="131"/>
      <w:bookmarkEnd w:id="132"/>
    </w:p>
    <w:p>
      <w:pPr>
        <w:pStyle w:val="165"/>
      </w:pPr>
      <w:r>
        <w:rPr>
          <w:rFonts w:hint="eastAsia"/>
        </w:rPr>
        <w:t>接触茶叶的内包装材料应符合GB 4806.7、GB 4806.8和GB 9683的要求。</w:t>
      </w:r>
    </w:p>
    <w:p>
      <w:pPr>
        <w:pStyle w:val="165"/>
      </w:pPr>
      <w:r>
        <w:rPr>
          <w:rFonts w:hint="eastAsia"/>
        </w:rPr>
        <w:t>外包装盒及包装容器应采用干燥、清洁、无异味以及不影响茶叶品质且符合卫生要求的材料制作，包装应牢固、密封、防潮，以保护茶品质。运输包装、销售包装应符合GH/T 1070的要求。</w:t>
      </w:r>
    </w:p>
    <w:p>
      <w:pPr>
        <w:pStyle w:val="105"/>
        <w:spacing w:before="156" w:after="156"/>
      </w:pPr>
      <w:bookmarkStart w:id="133" w:name="_Toc86396477"/>
      <w:bookmarkStart w:id="134" w:name="_Toc31827350"/>
      <w:bookmarkStart w:id="135" w:name="_Toc18088190"/>
      <w:bookmarkStart w:id="136" w:name="_Toc4303"/>
      <w:bookmarkStart w:id="137" w:name="_Toc10259"/>
      <w:bookmarkStart w:id="138" w:name="_Toc31827104"/>
      <w:r>
        <w:rPr>
          <w:rFonts w:hint="eastAsia"/>
        </w:rPr>
        <w:t>运输</w:t>
      </w:r>
      <w:bookmarkEnd w:id="133"/>
    </w:p>
    <w:p>
      <w:pPr>
        <w:pStyle w:val="56"/>
        <w:ind w:firstLine="420"/>
      </w:pPr>
      <w:r>
        <w:rPr>
          <w:rFonts w:hint="eastAsia"/>
        </w:rPr>
        <w:t>运输工具应清洁、干净、无异味、无污染。运输时应防雨、防潮、防曝晒。不得与其他物品混装、混运。</w:t>
      </w:r>
    </w:p>
    <w:bookmarkEnd w:id="116"/>
    <w:bookmarkEnd w:id="117"/>
    <w:bookmarkEnd w:id="118"/>
    <w:bookmarkEnd w:id="119"/>
    <w:bookmarkEnd w:id="120"/>
    <w:bookmarkEnd w:id="134"/>
    <w:bookmarkEnd w:id="135"/>
    <w:bookmarkEnd w:id="136"/>
    <w:bookmarkEnd w:id="137"/>
    <w:bookmarkEnd w:id="138"/>
    <w:p>
      <w:pPr>
        <w:pStyle w:val="105"/>
        <w:spacing w:before="156" w:after="156"/>
      </w:pPr>
      <w:bookmarkStart w:id="139" w:name="_Toc22566"/>
      <w:bookmarkStart w:id="140" w:name="_Toc488502968"/>
      <w:bookmarkStart w:id="141" w:name="_Toc488503016"/>
      <w:bookmarkStart w:id="142" w:name="_Toc86396478"/>
      <w:r>
        <w:rPr>
          <w:rFonts w:hint="eastAsia"/>
        </w:rPr>
        <w:t>贮存</w:t>
      </w:r>
      <w:bookmarkEnd w:id="139"/>
      <w:bookmarkEnd w:id="140"/>
      <w:bookmarkEnd w:id="141"/>
      <w:bookmarkEnd w:id="142"/>
    </w:p>
    <w:p>
      <w:pPr>
        <w:pStyle w:val="165"/>
      </w:pPr>
      <w:r>
        <w:rPr>
          <w:rFonts w:hint="eastAsia"/>
        </w:rPr>
        <w:t>应符合GB/T 30375的规定。应贮存在清洁、干燥、阴凉、通风、无异味的专用仓库中，避免在阳光直射和高温高湿处存放；严禁与有毒、有异味（气）、易污染的物品混放。</w:t>
      </w:r>
    </w:p>
    <w:p>
      <w:pPr>
        <w:pStyle w:val="165"/>
      </w:pPr>
      <w:r>
        <w:rPr>
          <w:rFonts w:hint="eastAsia"/>
        </w:rPr>
        <w:t>在上述贮存条件下，产品自生产日期起保质期为</w:t>
      </w:r>
      <w:r>
        <w:t>36</w:t>
      </w:r>
      <w:r>
        <w:rPr>
          <w:rFonts w:hint="eastAsia"/>
        </w:rPr>
        <w:t>个月。</w:t>
      </w:r>
    </w:p>
    <w:bookmarkEnd w:id="6"/>
    <w:p>
      <w:pPr>
        <w:pStyle w:val="56"/>
        <w:ind w:firstLine="0" w:firstLineChars="0"/>
        <w:jc w:val="center"/>
      </w:pPr>
      <w:bookmarkStart w:id="143"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3"/>
    </w:p>
    <w:sectPr>
      <w:headerReference r:id="rId17" w:type="default"/>
      <w:footerReference r:id="rId19" w:type="default"/>
      <w:headerReference r:id="rId18" w:type="even"/>
      <w:footerReference r:id="rId20" w:type="even"/>
      <w:pgSz w:w="11906" w:h="16838"/>
      <w:pgMar w:top="1871"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altName w:val="DengXian"/>
    <w:panose1 w:val="02010600030101010101"/>
    <w:charset w:val="86"/>
    <w:family w:val="auto"/>
    <w:pitch w:val="default"/>
    <w:sig w:usb0="00000000" w:usb1="00000000" w:usb2="00000016" w:usb3="00000000" w:csb0="0004000F" w:csb1="00000000"/>
  </w:font>
  <w:font w:name="等线 Light">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PAGE   \* MERGEFORMAT</w:instrText>
    </w:r>
    <w:r>
      <w:fldChar w:fldCharType="separate"/>
    </w:r>
    <w:r>
      <w:rPr>
        <w:lang w:val="zh-CN"/>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PAGE   \* MERGEFORMAT</w:instrText>
    </w:r>
    <w:r>
      <w:fldChar w:fldCharType="separate"/>
    </w:r>
    <w:r>
      <w:rPr>
        <w:lang w:val="zh-CN"/>
      </w:rP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T/JXTA—2021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T/JXTA—2021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T/JXTA—2021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T/JXTA—2021</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T/JXTA—2021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T/JXTA—2021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pStyle w:val="232"/>
      <w:lvlText w:val="%2)"/>
      <w:lvlJc w:val="left"/>
      <w:pPr>
        <w:tabs>
          <w:tab w:val="left" w:pos="1838"/>
        </w:tabs>
        <w:ind w:left="1838" w:hanging="420"/>
      </w:pPr>
    </w:lvl>
    <w:lvl w:ilvl="2" w:tentative="0">
      <w:start w:val="1"/>
      <w:numFmt w:val="lowerRoman"/>
      <w:pStyle w:val="234"/>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customStyle="1"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character" w:customStyle="1" w:styleId="230">
    <w:name w:val="段 Char"/>
    <w:basedOn w:val="26"/>
    <w:link w:val="231"/>
    <w:qFormat/>
    <w:uiPriority w:val="0"/>
    <w:rPr>
      <w:rFonts w:ascii="宋体"/>
      <w:sz w:val="21"/>
    </w:rPr>
  </w:style>
  <w:style w:type="paragraph" w:customStyle="1" w:styleId="231">
    <w:name w:val="段"/>
    <w:link w:val="230"/>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2">
    <w:name w:val="一级条标题"/>
    <w:next w:val="23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3">
    <w:name w:val="章标题"/>
    <w:next w:val="231"/>
    <w:qFormat/>
    <w:uiPriority w:val="0"/>
    <w:pPr>
      <w:tabs>
        <w:tab w:val="left" w:pos="1646"/>
      </w:tabs>
      <w:spacing w:before="312" w:beforeLines="100" w:after="312" w:afterLines="100"/>
      <w:ind w:left="1646" w:hanging="648"/>
      <w:jc w:val="both"/>
      <w:outlineLvl w:val="1"/>
    </w:pPr>
    <w:rPr>
      <w:rFonts w:ascii="黑体" w:hAnsi="Times New Roman" w:eastAsia="黑体" w:cs="Times New Roman"/>
      <w:sz w:val="21"/>
      <w:lang w:val="en-US" w:eastAsia="zh-CN" w:bidi="ar-SA"/>
    </w:rPr>
  </w:style>
  <w:style w:type="paragraph" w:customStyle="1" w:styleId="234">
    <w:name w:val="二级无"/>
    <w:basedOn w:val="1"/>
    <w:qFormat/>
    <w:uiPriority w:val="0"/>
    <w:pPr>
      <w:widowControl/>
      <w:numPr>
        <w:ilvl w:val="2"/>
        <w:numId w:val="1"/>
      </w:numPr>
      <w:adjustRightInd/>
      <w:spacing w:line="240" w:lineRule="auto"/>
      <w:jc w:val="left"/>
      <w:outlineLvl w:val="3"/>
    </w:pPr>
    <w:rPr>
      <w:rFonts w:ascii="宋体" w:hAnsi="Times New Roman"/>
      <w:kern w:val="0"/>
    </w:rPr>
  </w:style>
  <w:style w:type="paragraph" w:customStyle="1" w:styleId="235">
    <w:name w:val="二级条标题"/>
    <w:basedOn w:val="232"/>
    <w:next w:val="231"/>
    <w:qFormat/>
    <w:uiPriority w:val="0"/>
    <w:pPr>
      <w:numPr>
        <w:ilvl w:val="0"/>
        <w:numId w:val="0"/>
      </w:numPr>
      <w:tabs>
        <w:tab w:val="left" w:pos="2258"/>
      </w:tabs>
      <w:spacing w:before="50" w:after="50"/>
      <w:ind w:left="2258" w:hanging="420"/>
      <w:outlineLvl w:val="3"/>
    </w:pPr>
  </w:style>
  <w:style w:type="paragraph" w:customStyle="1" w:styleId="236">
    <w:name w:val="字母编号列项（一级）"/>
    <w:qFormat/>
    <w:uiPriority w:val="0"/>
    <w:pPr>
      <w:tabs>
        <w:tab w:val="left" w:pos="839"/>
      </w:tabs>
      <w:ind w:left="794" w:hanging="397"/>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904DB9BA71941888E106B17B9747F06"/>
        <w:style w:val=""/>
        <w:category>
          <w:name w:val="常规"/>
          <w:gallery w:val="placeholder"/>
        </w:category>
        <w:types>
          <w:type w:val="bbPlcHdr"/>
        </w:types>
        <w:behaviors>
          <w:behavior w:val="content"/>
        </w:behaviors>
        <w:description w:val=""/>
        <w:guid w:val="{89268F78-71C2-4A35-A2EF-952B3280F587}"/>
      </w:docPartPr>
      <w:docPartBody>
        <w:p>
          <w:pPr>
            <w:pStyle w:val="5"/>
          </w:pPr>
          <w:r>
            <w:rPr>
              <w:rStyle w:val="4"/>
              <w:rFonts w:hint="eastAsia"/>
            </w:rPr>
            <w:t>单击或点击此处输入文字。</w:t>
          </w:r>
        </w:p>
      </w:docPartBody>
    </w:docPart>
    <w:docPart>
      <w:docPartPr>
        <w:name w:val="347BFA58D04940EA93726E4DF4D130A1"/>
        <w:style w:val=""/>
        <w:category>
          <w:name w:val="常规"/>
          <w:gallery w:val="placeholder"/>
        </w:category>
        <w:types>
          <w:type w:val="bbPlcHdr"/>
        </w:types>
        <w:behaviors>
          <w:behavior w:val="content"/>
        </w:behaviors>
        <w:description w:val=""/>
        <w:guid w:val="{BBC5F3DE-4F74-4FFD-9907-B7DB4DE4DEB7}"/>
      </w:docPartPr>
      <w:docPartBody>
        <w:p>
          <w:pPr>
            <w:pStyle w:val="6"/>
          </w:pPr>
          <w:r>
            <w:rPr>
              <w:rStyle w:val="4"/>
              <w:rFonts w:hint="eastAsia"/>
            </w:rPr>
            <w:t>选择一项。</w:t>
          </w:r>
        </w:p>
      </w:docPartBody>
    </w:docPart>
    <w:docPart>
      <w:docPartPr>
        <w:name w:val="5439D4C7A4B3417CA75BE0A647DD95E6"/>
        <w:style w:val=""/>
        <w:category>
          <w:name w:val="常规"/>
          <w:gallery w:val="placeholder"/>
        </w:category>
        <w:types>
          <w:type w:val="bbPlcHdr"/>
        </w:types>
        <w:behaviors>
          <w:behavior w:val="content"/>
        </w:behaviors>
        <w:description w:val=""/>
        <w:guid w:val="{53A3605B-DAD7-4838-972D-69462917EA7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altName w:val="DengXian"/>
    <w:panose1 w:val="02010600030101010101"/>
    <w:charset w:val="86"/>
    <w:family w:val="auto"/>
    <w:pitch w:val="default"/>
    <w:sig w:usb0="00000000" w:usb1="00000000" w:usb2="00000016" w:usb3="00000000" w:csb0="0004000F" w:csb1="00000000"/>
  </w:font>
  <w:font w:name="等线 Light">
    <w:panose1 w:val="02010600030101010101"/>
    <w:charset w:val="86"/>
    <w:family w:val="auto"/>
    <w:pitch w:val="default"/>
    <w:sig w:usb0="00000000" w:usb1="00000000"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8904DB9BA71941888E106B17B9747F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47BFA58D04940EA93726E4DF4D130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439D4C7A4B3417CA75BE0A647DD95E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553</Words>
  <Characters>3157</Characters>
  <Lines>26</Lines>
  <Paragraphs>7</Paragraphs>
  <ScaleCrop>false</ScaleCrop>
  <LinksUpToDate>false</LinksUpToDate>
  <CharactersWithSpaces>3703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2021-10-24T22:58:00Z</dcterms:created>
  <dc:creator>lenovo</dc:creator>
  <dc:description>&lt;config cover="true" show_menu="true" version="1.0.0" doctype="SDKXY"&gt;_x000d_
&lt;/config&gt;</dc:description>
  <cp:lastModifiedBy>xinlei的iPad</cp:lastModifiedBy>
  <cp:lastPrinted>2020-08-31T02:00:00Z</cp:lastPrinted>
  <dcterms:modified xsi:type="dcterms:W3CDTF">2021-11-28T17:48:36Z</dcterms:modified>
  <dc:title>地方标准</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2052-11.17.0</vt:lpwstr>
  </property>
  <property fmtid="{D5CDD505-2E9C-101B-9397-08002B2CF9AE}" pid="16" name="ICV">
    <vt:lpwstr>D925AB0911854CCCB4FF940FCEFB4FDB</vt:lpwstr>
  </property>
</Properties>
</file>